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507" w:rsidRDefault="00FD5507">
      <w:pPr>
        <w:jc w:val="center"/>
        <w:rPr>
          <w:b/>
        </w:rPr>
      </w:pPr>
    </w:p>
    <w:p w:rsidR="00FD5507" w:rsidRDefault="00FD5507">
      <w:pPr>
        <w:spacing w:after="240"/>
        <w:jc w:val="center"/>
        <w:rPr>
          <w:b/>
        </w:rPr>
      </w:pPr>
    </w:p>
    <w:tbl>
      <w:tblPr>
        <w:tblStyle w:val="a"/>
        <w:tblW w:w="102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34"/>
        <w:gridCol w:w="2322"/>
        <w:gridCol w:w="2805"/>
        <w:gridCol w:w="2535"/>
      </w:tblGrid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Tytuł projektu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highlight w:val="white"/>
              </w:rPr>
              <w:t>Digitalizacja i integracja zasobów nauki w ramach wspólnej platformy repozytoryjnej instytutów badawczych - Digitarium Instytutów Badawczych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Wnioskodawca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Ministerstwo Przedsiębiorczości i Technologii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Beneficjent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Przemysłowy Instytut Maszyn Rolniczych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Partnerzy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18"/>
                <w:szCs w:val="18"/>
              </w:rPr>
              <w:t>Instytut Obróbki Plastycznej</w:t>
            </w:r>
          </w:p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18"/>
                <w:szCs w:val="18"/>
              </w:rPr>
              <w:t>Instytut Pojazdów Szynowych “TABOR”</w:t>
            </w:r>
          </w:p>
          <w:p w:rsidR="00FD5507" w:rsidRDefault="00715BA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Instytut Technologii Drewna </w:t>
            </w:r>
          </w:p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18"/>
                <w:szCs w:val="18"/>
              </w:rPr>
              <w:t>Instytut Włókien Naturalnych i Roślin Zielarskich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Źródło finansowania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Program Operacyjny Polska Cyfrowa, Działanie 2.3, Poddziałanie 2.3.1</w:t>
            </w:r>
          </w:p>
          <w:p w:rsidR="00FD5507" w:rsidRDefault="00715BA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Środki UE: 84,63%</w:t>
            </w:r>
            <w:r w:rsidR="00F1516B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:rsidR="00FD5507" w:rsidRDefault="00715BA0" w:rsidP="00A0351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Budżet państwa</w:t>
            </w:r>
            <w:r w:rsidR="00A0351F">
              <w:rPr>
                <w:rFonts w:ascii="Calibri" w:eastAsia="Calibri" w:hAnsi="Calibri" w:cs="Calibri"/>
                <w:sz w:val="22"/>
                <w:szCs w:val="22"/>
              </w:rPr>
              <w:t xml:space="preserve"> – nieznana część budżetu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: 15,37%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Całkowity koszt projektu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6 852 414,45 zł (brutto)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Planowany okres realizacji projektu</w:t>
            </w:r>
          </w:p>
        </w:tc>
        <w:tc>
          <w:tcPr>
            <w:tcW w:w="7662" w:type="dxa"/>
            <w:gridSpan w:val="3"/>
            <w:shd w:val="clear" w:color="auto" w:fill="FFFFFF"/>
            <w:vAlign w:val="center"/>
          </w:tcPr>
          <w:p w:rsidR="00FD5507" w:rsidRDefault="00715B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04.2019 – 03.2022</w:t>
            </w:r>
          </w:p>
        </w:tc>
      </w:tr>
      <w:tr w:rsidR="00FD5507">
        <w:trPr>
          <w:trHeight w:val="40"/>
        </w:trPr>
        <w:tc>
          <w:tcPr>
            <w:tcW w:w="2634" w:type="dxa"/>
            <w:shd w:val="clear" w:color="auto" w:fill="E7E6E6"/>
            <w:vAlign w:val="center"/>
          </w:tcPr>
          <w:p w:rsidR="00FD5507" w:rsidRDefault="00715BA0">
            <w:pPr>
              <w:spacing w:after="120"/>
              <w:rPr>
                <w:b/>
              </w:rPr>
            </w:pPr>
            <w:r>
              <w:rPr>
                <w:b/>
              </w:rPr>
              <w:t>Osoba kontaktowa</w:t>
            </w:r>
          </w:p>
        </w:tc>
        <w:tc>
          <w:tcPr>
            <w:tcW w:w="2322" w:type="dxa"/>
            <w:shd w:val="clear" w:color="auto" w:fill="FFFFFF"/>
            <w:vAlign w:val="center"/>
          </w:tcPr>
          <w:p w:rsidR="00FD5507" w:rsidRDefault="00715B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Agnieszka Klembalska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FD5507" w:rsidRDefault="00715B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agnes@pimr.poznan.pl</w:t>
            </w:r>
          </w:p>
        </w:tc>
        <w:tc>
          <w:tcPr>
            <w:tcW w:w="2535" w:type="dxa"/>
            <w:shd w:val="clear" w:color="auto" w:fill="FFFFFF"/>
            <w:vAlign w:val="center"/>
          </w:tcPr>
          <w:p w:rsidR="00FD5507" w:rsidRDefault="00715B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618712266</w:t>
            </w:r>
          </w:p>
        </w:tc>
      </w:tr>
    </w:tbl>
    <w:p w:rsidR="00FD5507" w:rsidRDefault="00FD5507">
      <w:pPr>
        <w:tabs>
          <w:tab w:val="left" w:pos="6000"/>
        </w:tabs>
      </w:pPr>
    </w:p>
    <w:p w:rsidR="00FD5507" w:rsidRDefault="00715BA0">
      <w:pPr>
        <w:pStyle w:val="Nagwek1"/>
        <w:spacing w:before="1080" w:after="0"/>
        <w:ind w:left="0"/>
        <w:jc w:val="both"/>
      </w:pPr>
      <w:bookmarkStart w:id="0" w:name="_gjdgxs" w:colFirst="0" w:colLast="0"/>
      <w:bookmarkEnd w:id="0"/>
      <w:r>
        <w:t>POWODY PODJĘCIA PROJEKTU</w:t>
      </w:r>
    </w:p>
    <w:p w:rsidR="00FD5507" w:rsidRDefault="00715BA0">
      <w:pPr>
        <w:pStyle w:val="Nagwek2"/>
        <w:numPr>
          <w:ilvl w:val="1"/>
          <w:numId w:val="5"/>
        </w:numPr>
      </w:pPr>
      <w:bookmarkStart w:id="1" w:name="_30j0zll" w:colFirst="0" w:colLast="0"/>
      <w:bookmarkEnd w:id="1"/>
      <w:r>
        <w:t xml:space="preserve">Identyfikacja problemu i potrzeb </w:t>
      </w:r>
    </w:p>
    <w:p w:rsidR="00FD5507" w:rsidRDefault="00715BA0">
      <w:pPr>
        <w:spacing w:after="120"/>
        <w:ind w:left="900" w:firstLine="540"/>
        <w:jc w:val="both"/>
        <w:rPr>
          <w:color w:val="000000"/>
        </w:rPr>
      </w:pPr>
      <w:r>
        <w:rPr>
          <w:sz w:val="22"/>
          <w:szCs w:val="22"/>
        </w:rPr>
        <w:t xml:space="preserve">Misją instytutów badawczych jest współpraca z przemysłem - stanowiąc jego wsparcie naukowo-badawcze, zobligowane są do stałej współpracy, realizacji prac na zlecenie i monitorowania potrzeb rynku. Znajomość potrzeb wynikająca z wieloletniej kooperacji z odbiorcami wyników prac oraz wyniki przeprowadzonej na potrzeby projektu ankiety wskazują, iż istnieje zapotrzebowanie na udostępnienie zasobów nauki instytutów wchodzących w skład Partnerstwa projektowego. Problem w efektywnej współpracy (nie tylko z przemysłem - także z innymi, zidentyfikowanymi grupami odbiorców: sferą nauki, szkolnictwem, instytucjami otoczenia biznesu, administracją, indywidualnymi użytkownikami)  stanowi  dotychczasowa niedostępność kolekcji dedykowanej do udostępnienia w ramach projektu. Nieznajomość tych zasobów przez potencjalnych odbiorców wpływa niekorzystnie na stan wiedzy na temat zakresu działalności instytutów oraz świadomość ich potencjału naukowo-badawczego. Ponadto, kolekcja jest niezabezpieczona - stanowią ją niejednokrotnie materiały kilkudziesięcioletnie, które aby przetrwać wymagają digitalizacji (część z nich ulegnie zniszczeniu już podczas skanowania). Rozproszenie zasobów, w poszczególnych instytucjach wpływa niekorzystnie na możliwości użytkownika w ich odnalezieniu - integracja </w:t>
      </w:r>
      <w:r>
        <w:rPr>
          <w:sz w:val="22"/>
          <w:szCs w:val="22"/>
        </w:rPr>
        <w:lastRenderedPageBreak/>
        <w:t>pełnotekstowych dokumentów na jednej wspólnej platformie cyfrowej znacznie poprawi tę sytuację i wpłynie na skrócenie czasu w dotarciu do dokumentu. Zebranie tych dokumentów ujednolica także dotychczasową różnorodność form przechowywania. Projekt ma na celu dostosowanie zasobów nauki poszczególnych Partnerów (PIMR - Partner Wiodący, INOP,  ITD, IPS “TABOR”, IWNiRZ) do cyfrowego udostępnienia i umieszczenie ich we wspólnym repozytorium. W obliczu planów reformy instytutów badawczych (IB) restrukturyzacji ulegną między innymi działy informacji naukowej, obejmujące biblioteki, wydawnictwa i archiwa zakładowe. Digitalizacja i stworzenie odpowiedniego repozytorium cyfrowego zasobów nauki ma na celu zachowanie i ochronę cennych kolekcji, stanowiących dziedzictwo narodowe zasobów naukowych państwa, zebranych w wersji analogowej oraz umożliwienia udostępniania ich oraz bieżących publikacji i wyników prac B+R w systemie otwartej nauki. Konsorcjum przygotowuje projekt z myślą o dostosowaniu unikatowych zbiorów do przyszłych warunków funkcjonowania IB, rozszerzeniu możliwości korzystania z nich oraz przeniesienia ich na dostarczoną przez MC infrastrukturę (w ramach projektu KRONIK@). Chęć integracji środowiska IB i eliminacja rozwiązań wyspowych, rozproszonych jest jednym z podstawowych założeń projektu. Platforma repozytoryjna ma w swojej funkcjonalności także rozbudowę pod względem instytucjonalnym. Przewiduje się (po zakończeniu projektu) rozszerzenie zakresu użytkowników zasilających kolekcję zasobów nauki o kolejne jednostki naukowe (w przypadku braku możliwości zdeponowania zbioru w infrastrukturze centralnej).</w:t>
      </w:r>
    </w:p>
    <w:tbl>
      <w:tblPr>
        <w:tblStyle w:val="a0"/>
        <w:tblW w:w="9366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12"/>
        <w:gridCol w:w="2847"/>
        <w:gridCol w:w="3307"/>
      </w:tblGrid>
      <w:tr w:rsidR="00FD5507">
        <w:tc>
          <w:tcPr>
            <w:tcW w:w="3212" w:type="dxa"/>
            <w:shd w:val="clear" w:color="auto" w:fill="E7E6E6"/>
          </w:tcPr>
          <w:p w:rsidR="00FD5507" w:rsidRDefault="00715BA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Interesariusz</w:t>
            </w:r>
          </w:p>
        </w:tc>
        <w:tc>
          <w:tcPr>
            <w:tcW w:w="2847" w:type="dxa"/>
            <w:shd w:val="clear" w:color="auto" w:fill="E7E6E6"/>
          </w:tcPr>
          <w:p w:rsidR="00FD5507" w:rsidRDefault="00715BA0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Zidentyfikowany problem</w:t>
            </w:r>
          </w:p>
        </w:tc>
        <w:tc>
          <w:tcPr>
            <w:tcW w:w="3307" w:type="dxa"/>
            <w:shd w:val="clear" w:color="auto" w:fill="E7E6E6"/>
          </w:tcPr>
          <w:p w:rsidR="00FD5507" w:rsidRDefault="00715BA0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Szacowana wielkość grupy</w:t>
            </w:r>
          </w:p>
        </w:tc>
      </w:tr>
      <w:tr w:rsidR="00FD5507">
        <w:trPr>
          <w:trHeight w:val="24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Partnerzy w projekcie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Brak platformy dzielenia się wiedzą - konsorcjum tworzy </w:t>
            </w:r>
            <w:r>
              <w:rPr>
                <w:sz w:val="15"/>
                <w:szCs w:val="15"/>
              </w:rPr>
              <w:t>5</w:t>
            </w:r>
            <w:r>
              <w:rPr>
                <w:color w:val="000000"/>
                <w:sz w:val="15"/>
                <w:szCs w:val="15"/>
              </w:rPr>
              <w:t xml:space="preserve"> instytutów badawczych związanych z techniką i technologią w sektorach: rolniczym, drzewnym, transportu, logistyki, materiałoznawstwa, obróbki plastycznej. Stworzenie wspólnego repozytorium, gromadzącego i udostępniającego prace naukowe w/w jednostek daje możliwość łatwej wymiany doświadczeń naukowych, dzielenia się wiedzą i sprzyja współpracy przy interdyscyplinarnych przedsięwzięciach badawczych.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5 instytutów badawczych - ok. 250 pracowników naukowych i badawczo-technicznych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Uczelnie wyższe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color w:val="0070C0"/>
              </w:rPr>
            </w:pPr>
            <w:r>
              <w:rPr>
                <w:color w:val="000000"/>
                <w:sz w:val="15"/>
                <w:szCs w:val="15"/>
              </w:rPr>
              <w:t>Brak platformy dzielenia się wiedzą - z uwagi na profil działalności instytutów tworzących platformę i zasilających ją wynikami własnych prac, jak i dotychczasową współpracę, ważną grupę użytkowników platformy stanowić będą pracownicy naukowi, a także studenci uczelni wyższych, zwłaszcza o profilach technicznym i rolniczym. Wyniki prac działalności badawczo-rozwojowej prowadzonej przez instytuty badawcze są pożądanym źródłem wiedzy w pracy naukowej środowisk akademickich.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</w:pPr>
            <w:r>
              <w:rPr>
                <w:sz w:val="15"/>
                <w:szCs w:val="15"/>
              </w:rPr>
              <w:t>18 publicznych uczelni technicznych  (ok. 305.000 studentów),</w:t>
            </w:r>
          </w:p>
          <w:p w:rsidR="00FD5507" w:rsidRDefault="00715BA0">
            <w:pPr>
              <w:jc w:val="center"/>
            </w:pPr>
            <w:r>
              <w:rPr>
                <w:sz w:val="15"/>
                <w:szCs w:val="15"/>
              </w:rPr>
              <w:t>7 niepublicznych uczelni technicznych (ok. 14.000 studentów),</w:t>
            </w:r>
          </w:p>
          <w:p w:rsidR="00FD5507" w:rsidRDefault="00715BA0">
            <w:pPr>
              <w:ind w:left="27" w:hanging="27"/>
              <w:jc w:val="center"/>
            </w:pPr>
            <w:r>
              <w:rPr>
                <w:sz w:val="15"/>
                <w:szCs w:val="15"/>
              </w:rPr>
              <w:t>6 publicznych uczelni rolniczych (ok. 84.000 studentów),</w:t>
            </w:r>
          </w:p>
          <w:p w:rsidR="00FD5507" w:rsidRDefault="00715BA0">
            <w:pPr>
              <w:ind w:left="27" w:hanging="27"/>
              <w:jc w:val="center"/>
            </w:pPr>
            <w:r>
              <w:rPr>
                <w:sz w:val="15"/>
                <w:szCs w:val="15"/>
              </w:rPr>
              <w:t>pracownicy naukowi uczelni wyższych</w:t>
            </w:r>
          </w:p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6 uczelni z kierunkami kształcenia w zakresie projektowania mebli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Instytuty badawcze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color w:val="0070C0"/>
              </w:rPr>
            </w:pPr>
            <w:r>
              <w:rPr>
                <w:color w:val="000000"/>
                <w:sz w:val="15"/>
                <w:szCs w:val="15"/>
              </w:rPr>
              <w:t xml:space="preserve">Brak platformy dzielenia się wiedzą - utworzenie platformy zasobów wiedzy instytutów badawczych ma w założeniach stanowić asumpt do promocji ich potencjału naukowego i badawczego, umożliwić innym jednostkom tego typu zapoznanie się z dorobkiem publikacyjnym autorów platformy, a w przyszłości umożliwić jej rozbudowę w oparciu o zasilanie zasobami pozostałych instytutów i wspomagać prezentację ich potencjału naukowo-badawczego, transfer </w:t>
            </w:r>
            <w:r>
              <w:rPr>
                <w:color w:val="000000"/>
                <w:sz w:val="15"/>
                <w:szCs w:val="15"/>
              </w:rPr>
              <w:lastRenderedPageBreak/>
              <w:t xml:space="preserve">wiedzy i jej komplementarność. 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</w:pPr>
            <w:r>
              <w:rPr>
                <w:sz w:val="2"/>
                <w:szCs w:val="2"/>
              </w:rPr>
              <w:lastRenderedPageBreak/>
              <w:t>asadadsf</w:t>
            </w:r>
          </w:p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110 instytutów badawczych (z pominięciem 5 tworzących platformę w ramach projektu) - ok. kilku tysięcy pracowników naukowych i badawczo-technicznych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lastRenderedPageBreak/>
              <w:t>Pozostałe jednostki naukowo-badawcze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color w:val="0070C0"/>
              </w:rPr>
            </w:pPr>
            <w:r>
              <w:rPr>
                <w:color w:val="000000"/>
                <w:sz w:val="15"/>
                <w:szCs w:val="15"/>
              </w:rPr>
              <w:t>Brak platformy dzielenia się wiedzą - na podstawie dotychczasowej współpracy stwierdzić można, że zasoby przewidziane do udostępnienia w ramach projektowanej platformy stanowić będą źródło wiedzy w pracy naukowej i badawczej wśród pracowników: instytutów Polskiej Akademii Nauk, ośrodków badawczo-rozwojowych, ośrodków innowacji.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Kilkanaście instytutów PAN współpracujących bezpośrednio z  instytutami tworzących projekt, 29 ośrodków badawczo-rozwojowych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 w:rsidP="00C32723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Środowisko szkolne (</w:t>
            </w:r>
            <w:r w:rsidR="00C32723">
              <w:rPr>
                <w:sz w:val="15"/>
                <w:szCs w:val="15"/>
              </w:rPr>
              <w:t>szkoły prowadzące kształcenie zawodowe)</w:t>
            </w:r>
          </w:p>
        </w:tc>
        <w:tc>
          <w:tcPr>
            <w:tcW w:w="2847" w:type="dxa"/>
          </w:tcPr>
          <w:p w:rsidR="00FD5507" w:rsidRDefault="00715BA0" w:rsidP="009D2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color w:val="0070C0"/>
              </w:rPr>
            </w:pPr>
            <w:r>
              <w:rPr>
                <w:color w:val="000000"/>
                <w:sz w:val="15"/>
                <w:szCs w:val="15"/>
              </w:rPr>
              <w:t xml:space="preserve">Brak platformy dzielenia się wiedzą - nauczyciele i uczniowie szkół </w:t>
            </w:r>
            <w:r w:rsidR="009D2EB2">
              <w:rPr>
                <w:color w:val="000000"/>
                <w:sz w:val="15"/>
                <w:szCs w:val="15"/>
              </w:rPr>
              <w:t>prowadzące szkolenie zawodowe</w:t>
            </w:r>
            <w:r>
              <w:rPr>
                <w:color w:val="000000"/>
                <w:sz w:val="15"/>
                <w:szCs w:val="15"/>
              </w:rPr>
              <w:t xml:space="preserve"> o kierunkach rolniczych, leśnych,</w:t>
            </w:r>
            <w:r w:rsidR="009D2EB2"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color w:val="000000"/>
                <w:sz w:val="15"/>
                <w:szCs w:val="15"/>
              </w:rPr>
              <w:t>drzewnych,  kolejowych korzystają z opracowań naukowych instytutów badawczych, traktując je jako wiarygodne źródło wiedzy i merytoryczne wsparcie tematyki zajęć.</w:t>
            </w:r>
          </w:p>
        </w:tc>
        <w:tc>
          <w:tcPr>
            <w:tcW w:w="3307" w:type="dxa"/>
          </w:tcPr>
          <w:p w:rsidR="00FD5507" w:rsidRDefault="00715BA0" w:rsidP="00C32723">
            <w:pPr>
              <w:pStyle w:val="Nagwek4"/>
              <w:spacing w:before="0" w:after="0"/>
              <w:ind w:left="0" w:firstLine="0"/>
              <w:jc w:val="center"/>
              <w:outlineLvl w:val="3"/>
            </w:pPr>
            <w:r>
              <w:rPr>
                <w:sz w:val="15"/>
                <w:szCs w:val="15"/>
              </w:rPr>
              <w:t>45 Zespołów Szkół Kształcenia Rolniczego, Krajowe Centrum Edukacji Rolniczej,</w:t>
            </w:r>
          </w:p>
          <w:p w:rsidR="00FD5507" w:rsidRDefault="00C32723" w:rsidP="00C32723">
            <w:pPr>
              <w:jc w:val="center"/>
            </w:pPr>
            <w:r>
              <w:rPr>
                <w:sz w:val="15"/>
                <w:szCs w:val="15"/>
              </w:rPr>
              <w:t>47</w:t>
            </w:r>
            <w:r w:rsidR="00715BA0">
              <w:rPr>
                <w:sz w:val="15"/>
                <w:szCs w:val="15"/>
              </w:rPr>
              <w:t xml:space="preserve"> szkół </w:t>
            </w:r>
            <w:r>
              <w:rPr>
                <w:sz w:val="15"/>
                <w:szCs w:val="15"/>
              </w:rPr>
              <w:t>kształcących w zawodach związanych z branżą transportu kolejowego,</w:t>
            </w:r>
          </w:p>
          <w:p w:rsidR="00FD5507" w:rsidRDefault="00C32723" w:rsidP="00C32723">
            <w:pPr>
              <w:jc w:val="center"/>
            </w:pPr>
            <w:r>
              <w:rPr>
                <w:sz w:val="15"/>
                <w:szCs w:val="15"/>
              </w:rPr>
              <w:t>760 szkół kształcących w zawodach związanych z branżą drzewno-meblarską</w:t>
            </w:r>
          </w:p>
          <w:p w:rsidR="00FD5507" w:rsidRDefault="00FD5507">
            <w:pPr>
              <w:jc w:val="center"/>
              <w:rPr>
                <w:i/>
              </w:rPr>
            </w:pP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i/>
              </w:rPr>
            </w:pPr>
            <w:r>
              <w:rPr>
                <w:sz w:val="15"/>
                <w:szCs w:val="15"/>
              </w:rPr>
              <w:t>Podmioty gospodarcze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color w:val="0070C0"/>
              </w:rPr>
            </w:pPr>
            <w:r>
              <w:rPr>
                <w:color w:val="000000"/>
                <w:sz w:val="15"/>
                <w:szCs w:val="15"/>
              </w:rPr>
              <w:t xml:space="preserve">Brak platformy dzielenia się wiedzą - 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15"/>
                <w:szCs w:val="15"/>
              </w:rPr>
              <w:t>i</w:t>
            </w:r>
            <w:r>
              <w:rPr>
                <w:color w:val="000000"/>
                <w:sz w:val="15"/>
                <w:szCs w:val="15"/>
              </w:rPr>
              <w:t>nstytuty badawcze działają przede wszystkim na potrzeby dużych oraz małych i średnich przedsiębiorstw, stanowiąc zaplecze badawczo-rozwojowe przemysłu. Niezmiernie ważną grupę docelową, do której adresowane będą cyfrowe zasoby wiedzy zgromadzonej na platformie stanowią konstruktorzy, technolodzy i pracownicy działów badawczych przedsiębiorstw przemysłowych branży maszyn i urządzeń rolniczych i leśnych, sektora drzewnego, elektromaszynowego, transportu</w:t>
            </w:r>
            <w:r>
              <w:rPr>
                <w:sz w:val="15"/>
                <w:szCs w:val="15"/>
              </w:rPr>
              <w:t>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</w:pPr>
            <w:r>
              <w:rPr>
                <w:sz w:val="14"/>
                <w:szCs w:val="14"/>
              </w:rPr>
              <w:t>Ponad 500.000 podmiotów gospodarczych ujętych w rejestrze REGON (stan na 30.09.2016) wg następujących sektorów: Uprawy rolne, chów i hodowla zwierząt, łowiectwo, włączając działalność usługową (54270),</w:t>
            </w:r>
          </w:p>
          <w:p w:rsidR="00FD5507" w:rsidRDefault="00715BA0">
            <w:pPr>
              <w:jc w:val="center"/>
              <w:rPr>
                <w:i/>
              </w:rPr>
            </w:pPr>
            <w:r>
              <w:rPr>
                <w:sz w:val="14"/>
                <w:szCs w:val="14"/>
              </w:rPr>
              <w:t>Leśnictwo i pozyskiwanie drewna (19201), Produkcja artykułów spożywczych (33505), Produkcja wyrobów z drewna oraz korka, z wyłączeniem mebli (35863), Produkcja papieru i wyrobów z papieru (5528), Produkcja metali (2392), Produkcja metalowych wyrobów gotowych, z wyłączeniem maszyn i urządzeń (62276), Produkcja urządzeń elektrycznych (4338), Produkcja maszyn i urządzeń, gdzie indziej niesklasyfikowana (9514), Produkcja pozostałego sprzętu transportowego (3612), Produkcja mebli (28386), Transport lądowy oraz transport rurociągowy (230405), Działalność usługowa w zakresie informacji (19072), Badania naukowe i prace rozwojowe (4530)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Indywidualni użytkownicy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15"/>
                <w:szCs w:val="15"/>
              </w:rPr>
              <w:t>Brak platformy dzielenia się wiedzą - zasoby zgromadzone na projektowanej platformie w formule otwartego dostępu sprostają także oczekiwaniom indywidualnych użytkowników, zainteresowanych tematyką np. rolnicy i przedsiębiorcy, którzy mają potrzebę samodzielnego znajdowania innowacyjnych rozwiązań dla swoich gospodarstw i firm.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</w:rPr>
              <w:t>400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Administracja rządowa i samorządowa, samorząd branżowy</w:t>
            </w:r>
          </w:p>
        </w:tc>
        <w:tc>
          <w:tcPr>
            <w:tcW w:w="2847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15"/>
                <w:szCs w:val="15"/>
              </w:rPr>
              <w:t>Brak platformy dzielenia się wiedzą - instytucje te często wykorzystują wyniki prac instytutów badawczych jako podstawa decyzji gospodarczych w skali makro, mezo i mikro.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</w:rPr>
              <w:t>Organy administracji rządowej i samorządowej w 16 województwach i na szczeblu centralnym, izby branżowe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Zagraniczne jednostki naukowe i przemysłowe</w:t>
            </w:r>
          </w:p>
        </w:tc>
        <w:tc>
          <w:tcPr>
            <w:tcW w:w="2847" w:type="dxa"/>
          </w:tcPr>
          <w:p w:rsidR="00FD5507" w:rsidRDefault="00715BA0">
            <w:pPr>
              <w:ind w:hanging="26"/>
              <w:jc w:val="center"/>
            </w:pPr>
            <w:r>
              <w:rPr>
                <w:sz w:val="15"/>
                <w:szCs w:val="15"/>
              </w:rPr>
              <w:t xml:space="preserve">Brak platformy dzielenia się wiedzą - w związku z wprowadzeniem na projektowaną platformę treści pełnotekstowych w wersji angielskojęzycznej, przewiduje się udział użytkowników z Europy i ze świata. Z uwagi na prowadzoną współpracę naukowo-badawczą z zagranicznymi instytucjami naukowymi i przedsiębiorstwami, można przyjąć, że udostępnione treści trafią początkowo właśnie do tych jednostek, a w miarę promocji i prowadzenia akcji </w:t>
            </w:r>
            <w:r>
              <w:rPr>
                <w:sz w:val="15"/>
                <w:szCs w:val="15"/>
              </w:rPr>
              <w:lastRenderedPageBreak/>
              <w:t>informacyjnej, liczba zagranicznych użytkowników wzrośnie.</w:t>
            </w:r>
          </w:p>
          <w:p w:rsidR="00FD5507" w:rsidRDefault="00FD55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" w:hanging="2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307" w:type="dxa"/>
          </w:tcPr>
          <w:p w:rsidR="00FD5507" w:rsidRDefault="00715BA0">
            <w:pPr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</w:rPr>
              <w:lastRenderedPageBreak/>
              <w:t>ponad 500 jednostek (uczelni, firm, koncernów) zidentyfikowanych na podstawie dotychczasowej, wieloletniej współpracy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Instytucje otoczenia biznesu</w:t>
            </w:r>
          </w:p>
        </w:tc>
        <w:tc>
          <w:tcPr>
            <w:tcW w:w="2847" w:type="dxa"/>
          </w:tcPr>
          <w:p w:rsidR="00FD5507" w:rsidRDefault="00715BA0">
            <w:pPr>
              <w:ind w:hanging="2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Brak platformy dzielenia się wiedzą - instytucje pełniące istotną rolę w procesie dyfuzji technologii oraz wspierania rozwoju innowacyjnej przedsiębiorczości: ośrodki przedsiębiorczości, instytucje finansowe, ośrodki innowacji (parki technologiczne, inkubatory technologiczne, centra transferu technologii), agencje marketingowe, kancelarie prawne, wykorzystujące informacje z projektowanej platformy do analiz biznesowych.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</w:pPr>
            <w:r>
              <w:rPr>
                <w:sz w:val="15"/>
                <w:szCs w:val="15"/>
              </w:rPr>
              <w:t>ponad 200 instytucji w ramach ośrodków przedsiębiorczości, instytucji finansowych, ośrodków innowacji;</w:t>
            </w:r>
          </w:p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kilkaset agencji marketingowych i kancelarii prawnych</w:t>
            </w:r>
          </w:p>
        </w:tc>
      </w:tr>
      <w:tr w:rsidR="00FD5507">
        <w:trPr>
          <w:trHeight w:val="220"/>
        </w:trPr>
        <w:tc>
          <w:tcPr>
            <w:tcW w:w="3212" w:type="dxa"/>
            <w:shd w:val="clear" w:color="auto" w:fill="auto"/>
          </w:tcPr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4"/>
                <w:szCs w:val="14"/>
              </w:rPr>
              <w:t>Dostawcy usług, sprzętu i oprogramowania</w:t>
            </w:r>
          </w:p>
        </w:tc>
        <w:tc>
          <w:tcPr>
            <w:tcW w:w="2847" w:type="dxa"/>
          </w:tcPr>
          <w:p w:rsidR="00FD5507" w:rsidRDefault="00715BA0">
            <w:pPr>
              <w:ind w:hanging="2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Brak platformy dzielenia się wiedzą - p</w:t>
            </w:r>
            <w:r>
              <w:rPr>
                <w:sz w:val="14"/>
                <w:szCs w:val="14"/>
              </w:rPr>
              <w:t>odmioty zainteresowane powstaniem projektowanej platformy w ramach projektu z uwagi na realizację dostaw usług, sprzętu i oprogramowania</w:t>
            </w:r>
          </w:p>
        </w:tc>
        <w:tc>
          <w:tcPr>
            <w:tcW w:w="3307" w:type="dxa"/>
          </w:tcPr>
          <w:p w:rsidR="00FD5507" w:rsidRDefault="00715BA0">
            <w:pPr>
              <w:jc w:val="center"/>
              <w:rPr>
                <w:sz w:val="15"/>
                <w:szCs w:val="15"/>
              </w:rPr>
            </w:pPr>
            <w:r>
              <w:rPr>
                <w:sz w:val="14"/>
                <w:szCs w:val="14"/>
              </w:rPr>
              <w:t>10 przedsiębiorstw i instytucji</w:t>
            </w:r>
          </w:p>
        </w:tc>
      </w:tr>
    </w:tbl>
    <w:p w:rsidR="00FD5507" w:rsidRDefault="00715BA0">
      <w:pPr>
        <w:pStyle w:val="Nagwek2"/>
        <w:numPr>
          <w:ilvl w:val="1"/>
          <w:numId w:val="5"/>
        </w:numPr>
        <w:jc w:val="both"/>
      </w:pPr>
      <w:r>
        <w:t xml:space="preserve">Opis stanu obecnego </w:t>
      </w:r>
    </w:p>
    <w:p w:rsidR="00FD5507" w:rsidRDefault="00715BA0">
      <w:pPr>
        <w:ind w:left="705" w:firstLine="705"/>
        <w:jc w:val="both"/>
      </w:pPr>
      <w:r>
        <w:rPr>
          <w:sz w:val="22"/>
          <w:szCs w:val="22"/>
        </w:rPr>
        <w:t>Swobodny i powszechny dostęp do publikacji naukowych jest coraz mocniej podkreślanym punktem w polityce dotyczącej nauki, zarówno na poziomie europejskim, jak i krajowym, a upowszechnianie i promocja dorobku naukowego ściśle związane są z widocznością prac naukowych w globalnej sieci. Instytuty badawcze tworzące Partnerstwo projektowe przez dziesiątki lat swojej działalności zgromadziły ogromne zasoby nauki (sam księgozbiór 5 instytutów obejmuje ponad 100 000 (103 953) pozycji, a całość zinwentaryzowanego zasobu to blisko 260 000 pozycji). Zespoły zajmujące się informacją naukową realizują zadania w zakresie:</w:t>
      </w:r>
    </w:p>
    <w:p w:rsidR="00FD5507" w:rsidRDefault="00715BA0">
      <w:pPr>
        <w:widowControl w:val="0"/>
        <w:numPr>
          <w:ilvl w:val="0"/>
          <w:numId w:val="1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administrowania zasobami wiedzy, jej gromadzeniem, porządkowaniem i udostępnianiem w ramach działalności bibliotecznej (wszystkie instytuty w ramach Partnerstwa projektowego prowadzą własne biblioteki naukowe), </w:t>
      </w:r>
    </w:p>
    <w:p w:rsidR="00FD5507" w:rsidRDefault="00715BA0">
      <w:pPr>
        <w:widowControl w:val="0"/>
        <w:numPr>
          <w:ilvl w:val="0"/>
          <w:numId w:val="1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baz tematycznych, </w:t>
      </w:r>
    </w:p>
    <w:p w:rsidR="00FD5507" w:rsidRDefault="00715BA0">
      <w:pPr>
        <w:widowControl w:val="0"/>
        <w:numPr>
          <w:ilvl w:val="0"/>
          <w:numId w:val="1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 przypadku INOP - cyfryzacji zasobów wiedzy dostępnej wewnętrznie dla pracowników, gromadzonych w repozytoriach zdigitalizowanych dokumentów bibliotecznych,</w:t>
      </w:r>
    </w:p>
    <w:p w:rsidR="00FD5507" w:rsidRDefault="00715BA0">
      <w:pPr>
        <w:widowControl w:val="0"/>
        <w:numPr>
          <w:ilvl w:val="0"/>
          <w:numId w:val="1"/>
        </w:numPr>
        <w:ind w:hanging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upowszechniania wiedzy za pomocą wydawnictw własnych (czasopisma, monografie).</w:t>
      </w:r>
    </w:p>
    <w:p w:rsidR="00FD5507" w:rsidRDefault="00715BA0">
      <w:pPr>
        <w:ind w:left="705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W pozostałych Instytutach dostęp do części zgromadzonych zasobów odbywa się jedynie w wyznaczonych bibliotekach i czytelniach w ograniczonym zakresie (materiały bieżące lub archiwalne, odpowiednio wcześniej zamówione). To rozwiązanie bardzo mocno ogranicza przepływ innowacji i informacji z jednostek naukowych do przemysłu. Dotychczasowa rozproszona infrastruktura informatyczna przygotowana była do zaspokajania wewnętrznych potrzeb informacyjnych jednostek i nie była przygotowywana do obsługi wielu zapytań i skalowania systemów. Instytuty posiadają ponad 30 dużych baz danych informacji naukowej i badawczej. Niestety bazy te są rozproszone i dostępne w różnych standardach (ISIS, Marc21, MySQL) wymagających ujednolicenia. Instytuty na potrzeby zarządzania pracami badawczymi wdrożyły zintegrowane systemy kontroli obiegu dokumentów (INOP) lub używają oprogramowania do podstawowego zarządzania administracyjno-finansowego pracami B+R (PIMR, ITD, IWNIRZ). </w:t>
      </w:r>
    </w:p>
    <w:p w:rsidR="00FD5507" w:rsidRDefault="00715BA0">
      <w:pPr>
        <w:ind w:left="705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ramach projektu, konsorcjum Partnerów przewiduje umieścić na projektowanej wspólnej platformie repozytoryjnej 57% posiadanych zasobów nauki możliwych prawnie do udostępnienia w formule otwartego dostępu - do których konsorcjum posiada prawa własności intelektualnej (monografie własne, artykuły naukowe własne, Normy Branżowe, własne prace naukowo-badawcze, materiały konferencyjne, dokumenty faktograficzne - zdjęcia, filmy, dane </w:t>
      </w:r>
      <w:r>
        <w:rPr>
          <w:sz w:val="22"/>
          <w:szCs w:val="22"/>
        </w:rPr>
        <w:lastRenderedPageBreak/>
        <w:t xml:space="preserve">surowe, ulotki informacyjno-instruktażowe, dokumentacja techniczna). 62% tej kolekcji stanowią dokumenty w formie papierowej, pozostałe 38% do pliki elektroniczne, wymagające dalszej obróbki celem umieszczenia na platformie. Udostępniane nie będą natomiast pozycje zinwentaryzowane w ramach księgozbiorów prac obcych i kolekcji Polskich Norm, do których instytuty nie posiadają praw własności intelektualnej.  </w:t>
      </w:r>
    </w:p>
    <w:p w:rsidR="00FD5507" w:rsidRDefault="00715BA0" w:rsidP="00940CE6">
      <w:pPr>
        <w:pStyle w:val="Nagwek1"/>
        <w:numPr>
          <w:ilvl w:val="0"/>
          <w:numId w:val="16"/>
        </w:numPr>
        <w:jc w:val="both"/>
      </w:pPr>
      <w:bookmarkStart w:id="2" w:name="_1fob9te" w:colFirst="0" w:colLast="0"/>
      <w:bookmarkEnd w:id="2"/>
      <w:r>
        <w:t>EFEKTY PROJEKTU</w:t>
      </w:r>
    </w:p>
    <w:p w:rsidR="00FD5507" w:rsidRDefault="00940CE6" w:rsidP="00940CE6">
      <w:pPr>
        <w:pStyle w:val="Nagwek2"/>
        <w:ind w:left="710" w:firstLine="0"/>
        <w:jc w:val="both"/>
        <w:rPr>
          <w:sz w:val="20"/>
          <w:szCs w:val="20"/>
        </w:rPr>
      </w:pPr>
      <w:bookmarkStart w:id="3" w:name="_3znysh7" w:colFirst="0" w:colLast="0"/>
      <w:bookmarkEnd w:id="3"/>
      <w:r>
        <w:t xml:space="preserve">2.1 </w:t>
      </w:r>
      <w:r w:rsidR="00715BA0">
        <w:t xml:space="preserve">Cele i korzyści wynikające z projektu </w:t>
      </w:r>
    </w:p>
    <w:p w:rsidR="00FD5507" w:rsidRDefault="00715BA0">
      <w:pPr>
        <w:spacing w:after="120"/>
        <w:ind w:firstLine="710"/>
        <w:jc w:val="both"/>
        <w:rPr>
          <w:sz w:val="22"/>
          <w:szCs w:val="22"/>
        </w:rPr>
      </w:pPr>
      <w:r>
        <w:rPr>
          <w:sz w:val="22"/>
          <w:szCs w:val="22"/>
        </w:rPr>
        <w:t>Cele projektu zostały wyrażone adekwatnymi i mierzalnymi wskaźnikami. Poza obligatoryjnymi wskaźnikami (zaznaczone pogrubioną czcionką), określono dodatkowe – adekwatne do specyfiki projektu.</w:t>
      </w:r>
    </w:p>
    <w:tbl>
      <w:tblPr>
        <w:tblStyle w:val="a1"/>
        <w:tblW w:w="9497" w:type="dxa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8080"/>
      </w:tblGrid>
      <w:tr w:rsidR="00FC3DE8">
        <w:trPr>
          <w:trHeight w:val="380"/>
        </w:trPr>
        <w:tc>
          <w:tcPr>
            <w:tcW w:w="1417" w:type="dxa"/>
            <w:shd w:val="clear" w:color="auto" w:fill="E7E6E6"/>
          </w:tcPr>
          <w:p w:rsidR="00FC3DE8" w:rsidRDefault="00FC3DE8">
            <w:pPr>
              <w:rPr>
                <w:rFonts w:ascii="Arial" w:eastAsia="MS MinNew Roman" w:hAnsi="Arial" w:cs="Arial"/>
                <w:b/>
                <w:bCs/>
                <w:szCs w:val="24"/>
                <w:lang w:eastAsia="en-US"/>
              </w:rPr>
            </w:pPr>
            <w:r>
              <w:rPr>
                <w:rFonts w:eastAsia="MS MinNew Roman" w:cs="Arial"/>
                <w:b/>
                <w:bCs/>
                <w:szCs w:val="24"/>
              </w:rPr>
              <w:t>Cel - 1</w:t>
            </w:r>
          </w:p>
        </w:tc>
        <w:tc>
          <w:tcPr>
            <w:tcW w:w="8080" w:type="dxa"/>
            <w:shd w:val="clear" w:color="auto" w:fill="FFFFFF"/>
          </w:tcPr>
          <w:p w:rsidR="00FC3DE8" w:rsidRDefault="00FC3DE8">
            <w:pPr>
              <w:pStyle w:val="Tekstpodstawowywcity"/>
              <w:ind w:left="34"/>
              <w:rPr>
                <w:rFonts w:cs="Arial"/>
                <w:color w:val="0070C0"/>
                <w:lang w:val="pl-PL" w:eastAsia="pl-PL"/>
              </w:rPr>
            </w:pPr>
            <w:r w:rsidRPr="00FC3DE8">
              <w:rPr>
                <w:lang w:val="pl-PL"/>
              </w:rPr>
              <w:t>Udostępnienie zasobów nauki instytutów badawczych wchodzących w skład Partnerstwa projektowego</w:t>
            </w:r>
          </w:p>
        </w:tc>
      </w:tr>
      <w:tr w:rsidR="00FC3DE8">
        <w:trPr>
          <w:trHeight w:val="380"/>
        </w:trPr>
        <w:tc>
          <w:tcPr>
            <w:tcW w:w="1417" w:type="dxa"/>
            <w:shd w:val="clear" w:color="auto" w:fill="E7E6E6"/>
          </w:tcPr>
          <w:p w:rsidR="00FC3DE8" w:rsidRDefault="00FC3DE8">
            <w:pPr>
              <w:rPr>
                <w:rFonts w:ascii="Arial" w:eastAsia="MS MinNew Roman" w:hAnsi="Arial" w:cs="Arial"/>
                <w:b/>
                <w:bCs/>
                <w:szCs w:val="24"/>
                <w:lang w:eastAsia="en-US"/>
              </w:rPr>
            </w:pPr>
            <w:r>
              <w:rPr>
                <w:rFonts w:eastAsia="MS MinNew Roman" w:cs="Arial"/>
                <w:b/>
                <w:bCs/>
                <w:szCs w:val="24"/>
              </w:rPr>
              <w:t>Cel strategiczny</w:t>
            </w:r>
          </w:p>
        </w:tc>
        <w:tc>
          <w:tcPr>
            <w:tcW w:w="8080" w:type="dxa"/>
            <w:shd w:val="clear" w:color="auto" w:fill="FFFFFF"/>
          </w:tcPr>
          <w:p w:rsidR="00E76858" w:rsidRPr="00E76858" w:rsidRDefault="00E76858" w:rsidP="00E76858">
            <w:pPr>
              <w:jc w:val="both"/>
            </w:pPr>
            <w:r w:rsidRPr="00E76858">
              <w:t>Cele cyfryzacji w ramach projektu skonstruowane zostały zgodnie z celami działania instytutów i wynikają z charakteru ich zbiorów oraz profilu użytkowników. Prowadzenie cyfrowego repozytorium (obecnie, jeszcze na poziomie zaleceń - przykładowo w dokumencie przyjętym przez Ministra Nauki i Szkolnictwa Wyższego w październiku 2015  pt. “Kierunki rozwoju otwartego dostępu do publikacji i wyników badań naukowych w Polsce”) już wkrótce może stać się obowiązkiem każdej jednostki naukowej. Cel projektu nawiązuje do strategicznych celów UE i POPC:</w:t>
            </w:r>
          </w:p>
          <w:p w:rsidR="00E76858" w:rsidRPr="00E76858" w:rsidRDefault="00E76858" w:rsidP="00E76858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contextualSpacing/>
              <w:jc w:val="both"/>
            </w:pPr>
            <w:r w:rsidRPr="00E76858">
              <w:t>zwiększenie dostępności oraz poprawa jakości zasobów nauki, a także zwiększenie możliwości ich ponownego wykorzystania,</w:t>
            </w:r>
          </w:p>
          <w:p w:rsidR="00E76858" w:rsidRPr="00E76858" w:rsidRDefault="00E76858" w:rsidP="00E76858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contextualSpacing/>
              <w:jc w:val="both"/>
            </w:pPr>
            <w:r w:rsidRPr="00E76858">
              <w:t>zapewnienie funkcjonalności: stosowania standardów interoperacyjności oraz dostępności, opatrywania ISP metadanymi, dostępności zasobów nauki zdatnych do maszynowego odczytu i automatycznego pobierania, dostępności interfejsów programistycznych (API), koordynacji przedsięwzięć eliminującej wielokrotne digitalizowanie tych samych zasobów,</w:t>
            </w:r>
          </w:p>
          <w:p w:rsidR="00E76858" w:rsidRPr="00E76858" w:rsidRDefault="00E76858" w:rsidP="00E76858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contextualSpacing/>
              <w:jc w:val="both"/>
            </w:pPr>
            <w:r w:rsidRPr="00E76858">
              <w:t>projekt charakteryzuje się systemowym podejściem do cyfrowego udostępniania zasobów, uwzględniającym: wymiar sprzętowy i technologiczny; tworzenie repozytoriów oraz innych rozwiązań TIK służących udostępnieniu i wykorzystaniu zasobów nauki; wymiar treściowy: udostępnianie i przygotowywanie do udostępnienia zasobów nauki; wymiar kompetencyjny: obejmujący podnoszenie kompetencji osób zaangażowanych zarówno w udostępnianie jak i ponowne wykorzystanie zasobów nauki, a także budowanie świadomości na temat znaczenia ponownego wykorzystania zasobów nauki jako działania prorozwojowego,</w:t>
            </w:r>
          </w:p>
          <w:p w:rsidR="00E76858" w:rsidRPr="00E76858" w:rsidRDefault="00E76858" w:rsidP="00E76858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contextualSpacing/>
              <w:jc w:val="both"/>
            </w:pPr>
            <w:r w:rsidRPr="00E76858">
              <w:t>udostępnianie zasobów nauki w sposób otwarty, nieodpłatnie i przy jak najmniejszych barierach dla ich ponownego wykorzystania,</w:t>
            </w:r>
          </w:p>
          <w:p w:rsidR="00E76858" w:rsidRPr="00E76858" w:rsidRDefault="00E76858" w:rsidP="00E76858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contextualSpacing/>
              <w:jc w:val="both"/>
            </w:pPr>
            <w:r w:rsidRPr="00E76858">
              <w:t>digitalizacja jest traktowana w projekcie zgodnie z założeniami poddziałania jako środek do celu, którym jest cyfrowe udostępnienie zasobów.</w:t>
            </w:r>
          </w:p>
          <w:p w:rsidR="00E76858" w:rsidRPr="00E76858" w:rsidRDefault="00E76858" w:rsidP="00E76858">
            <w:pPr>
              <w:jc w:val="both"/>
            </w:pPr>
            <w:r w:rsidRPr="00E76858">
              <w:t>Założenia projektu wpisują się w obszar misji i strategii działalności instytutów badawczych, w szczególności:</w:t>
            </w:r>
          </w:p>
          <w:p w:rsidR="00E76858" w:rsidRPr="00E76858" w:rsidRDefault="00E76858" w:rsidP="00E76858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contextualSpacing/>
              <w:jc w:val="both"/>
            </w:pPr>
            <w:r w:rsidRPr="00E76858">
              <w:t xml:space="preserve">wspierania szerokiego stosowania rezultatów i rozpowszechniania wiedzy uzyskanej w wyniku działalności badawczej, </w:t>
            </w:r>
          </w:p>
          <w:p w:rsidR="00E76858" w:rsidRPr="00E76858" w:rsidRDefault="00E76858" w:rsidP="00E76858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contextualSpacing/>
              <w:jc w:val="both"/>
            </w:pPr>
            <w:r w:rsidRPr="00E76858">
              <w:t>wspierania współpracy naukowo-badawczej w płaszczyźnie regionalnej, krajowej i międzynarodowej,</w:t>
            </w:r>
          </w:p>
          <w:p w:rsidR="00E76858" w:rsidRPr="00E76858" w:rsidRDefault="00E76858" w:rsidP="00E76858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contextualSpacing/>
              <w:jc w:val="both"/>
            </w:pPr>
            <w:r w:rsidRPr="00E76858">
              <w:t>rozwoju kadry naukowej,</w:t>
            </w:r>
          </w:p>
          <w:p w:rsidR="00E76858" w:rsidRPr="00E76858" w:rsidRDefault="00E76858" w:rsidP="00E76858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contextualSpacing/>
              <w:jc w:val="both"/>
            </w:pPr>
            <w:r w:rsidRPr="00E76858">
              <w:t>tworzenia nowych miejsc pracy,</w:t>
            </w:r>
          </w:p>
          <w:p w:rsidR="00E76858" w:rsidRPr="00E76858" w:rsidRDefault="00E76858" w:rsidP="00E76858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contextualSpacing/>
              <w:jc w:val="both"/>
            </w:pPr>
            <w:r w:rsidRPr="00E76858">
              <w:t>wzrostu wykorzystania technologii informacyjnych i komunikacyjnych w gospodarce.</w:t>
            </w:r>
          </w:p>
          <w:p w:rsidR="00E76858" w:rsidRPr="00E76858" w:rsidRDefault="00E76858" w:rsidP="00E76858">
            <w:pPr>
              <w:jc w:val="both"/>
            </w:pPr>
            <w:r w:rsidRPr="00E76858">
              <w:t xml:space="preserve">Cele projektu zgodne są także z założeniami Strategii na rzecz Odpowiedzialnego Rozwoju, </w:t>
            </w:r>
            <w:r w:rsidRPr="00E76858">
              <w:lastRenderedPageBreak/>
              <w:t>zarówno na płaszczyźnie dotyczącej cyfryzacji (zwiększenie wykorzystania cyfrowych produktów, rozwój kompetencji cyfrowych, zwiększenie dostępu obywateli do informacji sektora publicznego, dostarczanie informacji branżowej i technicznej), jak i w kontekście reformy instytutów badawczych (zapewnienie możliwości prowadzenia badań interdyscyplinarnych, premiowanie współpracy z przemysłem, zwiększenie wykorzystania istniejącej infrastruktury B+R). Udostępnienie zasobów nauki instytutów badawczych - jednostek naukowych działających przede wszystkim jako wsparcie badawczo-rozwojowe dla gospodarki - ma ogromne znaczenie w aspekcie kreowania jej innowacyjności.</w:t>
            </w:r>
          </w:p>
          <w:p w:rsidR="00FC3DE8" w:rsidRPr="00E76858" w:rsidRDefault="00E76858" w:rsidP="00E76858">
            <w:pPr>
              <w:jc w:val="both"/>
            </w:pPr>
            <w:r w:rsidRPr="00E76858">
              <w:t xml:space="preserve">Otwartość zasobów oraz realizacja procesu przechodzenia od rzeczywistości analogowej do cyfrowej, integracja zasobów na wspólnej, otwartej platformie (początkowo międzyinstytutowej, następnie na szczeblu centralnym, koordynowanej przez Ministerstwo Cyfryzacji w ramach projektu </w:t>
            </w:r>
            <w:r w:rsidRPr="00E76858">
              <w:rPr>
                <w:b/>
              </w:rPr>
              <w:t>KRONIK@</w:t>
            </w:r>
            <w:r w:rsidRPr="00E76858">
              <w:t>) stanowiące immanentne cechy projektu, w pełni wpisują się w zakres strategii “Sprawne Państwo 2020”,  „Program Zintegrowanej Informatyzacji Państwa” (w kontekście zdeponowania zasobów docelowo w centralnym systemie np. KRONIK@, projekt jest skonstruowany zgodnie z zasadami PZIP, dotyczącymi budowy elektronicznych usług publicznych, m. in.: zasadą domyślnej cyfrowości, powszechności, dostępności, otwartości, przejrzystości, transgraniczności, interoperacyjności, niezawodności i bezpieczeństwa, stworzenie centralnego narzędzia dostępu do informacji publicznej, zasobów naukowych oraz przystosowany do tworzenia interaktywnych usług elektronicznych dla studentów, naukowców, przedsiębiorców, administracji publicznej i obywateli w zakresie szkolnictwa wyższego i działalności naukowo-badawczej), w tym w model centralizacji i integracji infrastruktury i zasobów „Wspólna infrastruktura państwa” (w perspektywie ewentualnej integracji z centralnym systemem projekt Digitarium przygotowuje zasoby instytutów do zgodności z mechanizmami, które docelowo mają nie tylko służyć centralizacji i integracji systemów teleinformatycznych utrzymywanych m.in. w ramach działań Głównego Informatyka Kraju, ale także dążyć do przenoszenia tych systemów na wspólną infrastrukturę utrzymywaną w ramach przedsięwzięcia Ministerstwa Cyfryzacji)  i Strategii Rozwoju Kapitału Społecznego 2020 (3.1.1 Zwiększenie dostępności treści edukacyjnych, naukowych i kulturowych w domenie publicznej).</w:t>
            </w:r>
          </w:p>
        </w:tc>
      </w:tr>
      <w:tr w:rsidR="00FD5507">
        <w:trPr>
          <w:trHeight w:val="3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lastRenderedPageBreak/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Możliwość dostępu do zasobów nauki (wcześniej dostępnych jedynie “na miejscu” lub w ogóle nie udostępnianych)</w:t>
            </w:r>
          </w:p>
        </w:tc>
      </w:tr>
      <w:tr w:rsidR="00FD5507">
        <w:trPr>
          <w:trHeight w:val="26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Liczba odwiedzin platformy</w:t>
            </w:r>
          </w:p>
        </w:tc>
      </w:tr>
      <w:tr w:rsidR="00FD5507">
        <w:trPr>
          <w:trHeight w:val="46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Wartość aktualna: 0</w:t>
            </w:r>
          </w:p>
          <w:p w:rsidR="00FD5507" w:rsidRDefault="00715BA0">
            <w:pPr>
              <w:spacing w:after="120"/>
              <w:ind w:left="34"/>
              <w:jc w:val="both"/>
            </w:pPr>
            <w:r>
              <w:t>Wartość docelowa: 25 000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</w:pPr>
            <w:r>
              <w:t>Metoda pomiaru:  odczyt statystyk odwiedzin na stronie - w ujęciu półrocznym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</w:pPr>
            <w:r>
              <w:t>Możliwość dostępu do zasobów nauki (wcześniej dostępnych jedynie “na miejscu” lub w ogóle nie udostępnianych)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bookmarkStart w:id="4" w:name="_2et92p0" w:colFirst="0" w:colLast="0"/>
            <w:bookmarkEnd w:id="4"/>
            <w:r w:rsidRPr="004E6F44">
              <w:t>Liczba udostępnionych on-line dokumentów zawierających informacje sektora publicznego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aktualna: 0</w:t>
            </w:r>
          </w:p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docelowa: 25 860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lastRenderedPageBreak/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Metoda pomiaru: odczyt statystyk na stronie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Cel - 2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jc w:val="both"/>
            </w:pPr>
            <w:r w:rsidRPr="004E6F44">
              <w:t>Popularyzacja działalności i dorobku naukowego instytutów badawczych poprzez ułatwienie dostępu do informacji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Wzrost liczby odbiorców wyników prac oraz rozszerzenie współpracy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Liczba podmiotów, które udostępniły on-line informacje sektora publicznego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aktualna: 0</w:t>
            </w:r>
          </w:p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docelowa: 5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Metoda pomiaru: identyfikacja podmiotów umieszczających zasoby nauki na wspólnej platformie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Cel - 3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jc w:val="both"/>
            </w:pPr>
            <w:r w:rsidRPr="004E6F44">
              <w:t>Wzmocnienie wizerunku instytutów badawczych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Wzrost liczby odbiorców wyników prac oraz rozszerzenie współpracy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Liczba podmiotów, które udostępniły informacje na platformie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aktualna: 0</w:t>
            </w:r>
          </w:p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docelowa: 5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Metoda pomiaru: identyfikacja podmiotów umieszczających zasoby nauki na wspólnej platformie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Cel - 4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jc w:val="both"/>
            </w:pPr>
            <w:r w:rsidRPr="004E6F44">
              <w:t>Ochrona materiałów poprzez archiwizację i możliwość długoterminowego przechowywania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Zachowanie i możliwość udostępnienia zasobów nauki, które z uwagi na stan techniczny (przed digitalizacją) nie mogłyby być udostępnione szerszemu kręgowi odbiorców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r w:rsidRPr="004E6F44">
              <w:t xml:space="preserve">Liczba zdigitalizowanych dokumentów zawierających informacje sektora publicznego </w:t>
            </w:r>
          </w:p>
        </w:tc>
      </w:tr>
      <w:tr w:rsidR="00FD5507">
        <w:trPr>
          <w:trHeight w:val="92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aktualna: 0</w:t>
            </w:r>
          </w:p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docelowa: 25 860 sztuk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Metoda pomiaru: analiza statystyk portalu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lastRenderedPageBreak/>
              <w:t>Cel - 6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jc w:val="both"/>
            </w:pPr>
            <w:r w:rsidRPr="004E6F44">
              <w:t>Wzrost liczby cytowań udostępnionych publikacji naukowych pracowników instytutów badawczych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Możliwość zapoznania się i wykorzystania dorobku pracowników instytutów badawczych w badaniach naukowych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Liczba pobrań/odtworzeń dokumentów zawierających informacje sektora publicznego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aktualna: 0</w:t>
            </w:r>
          </w:p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docelowa: 5 000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Metoda pomiaru: analiza statystyk portalu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Cel - 7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jc w:val="both"/>
            </w:pPr>
            <w:r w:rsidRPr="004E6F44">
              <w:t>Wsparcie techniczne dla odbiorców poprzez zastosowanie odpowiednich wyszukiwarek, cyfrowych katalogów tematycznych, narzędzi analitycznych</w:t>
            </w:r>
          </w:p>
          <w:p w:rsidR="00FD5507" w:rsidRPr="004E6F44" w:rsidRDefault="00FD5507">
            <w:pPr>
              <w:jc w:val="both"/>
            </w:pP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Możliwość analizy dokumentów i skrócenie czasu dostępu do zasobów nauki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Liczba baz danych udostępnionych on-line poprzez API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aktualna: 0</w:t>
            </w:r>
          </w:p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docelowa: 5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Metoda pomiaru: identyfikacja liczby baz danych na portalu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Cel - 8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jc w:val="both"/>
            </w:pPr>
            <w:r w:rsidRPr="004E6F44">
              <w:t>Budowa społeczeństwa informacyjnego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Ułatwienie dostępu do zasobów nauki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Liczba odwiedzin platformy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aktualna: 0</w:t>
            </w:r>
          </w:p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docelowa: 25 000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Podstawa: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Sposób pomiaru: statystyki odwiedzin na stronie</w:t>
            </w:r>
          </w:p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Dokument zarządczy raportujący wskaźnik: raport Komitetu Sterującego (1 raz na 2 kwartały)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lastRenderedPageBreak/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Metoda pomiaru: odczyt statystyk odwiedzin na stronie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Cel - 9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jc w:val="both"/>
            </w:pPr>
            <w:r w:rsidRPr="004E6F44">
              <w:t>Opracowanie i przyjęcie własnej instytucjonalnej polityki w zakresie otwartego dostępu, określającej zasady publikowania w otwartym dostępie wyników badań</w:t>
            </w:r>
          </w:p>
          <w:p w:rsidR="00FD5507" w:rsidRPr="004E6F44" w:rsidRDefault="00FD5507">
            <w:pPr>
              <w:jc w:val="both"/>
            </w:pP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Zapewnienie przejrzystości w zakresie stanu prawnego udostępnianych na wspólnej platformie repozytoryjnej zasobów nauki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Liczba polityk instytucjonalnych w zakresie otwartego dostępu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aktualna: 0</w:t>
            </w:r>
          </w:p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docelowa: 5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Metoda pomiaru: Identyfikacja liczby wdrożonych polityk w zakresie otwartego dostępu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Cel - 10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jc w:val="both"/>
            </w:pPr>
            <w:r w:rsidRPr="004E6F44">
              <w:t xml:space="preserve">Udostępnienie informacji odbiorcom poprzez zastosowanie odpowiednich algorytmów wspomagających kwerendowanie danych 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Korzyść: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Możliwość analizy dokumentów i skrócenie czasu dostępu do zasobów nauki</w:t>
            </w:r>
          </w:p>
        </w:tc>
      </w:tr>
      <w:tr w:rsidR="00FD5507">
        <w:trPr>
          <w:trHeight w:val="5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</w:pPr>
            <w:r w:rsidRPr="004E6F44">
              <w:t>Liczba utworzonych API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Pr="004E6F44" w:rsidRDefault="00715BA0">
            <w:r w:rsidRPr="004E6F44">
              <w:t>Wartość aktualna i docelowa KPI:</w:t>
            </w:r>
          </w:p>
        </w:tc>
        <w:tc>
          <w:tcPr>
            <w:tcW w:w="8080" w:type="dxa"/>
            <w:shd w:val="clear" w:color="auto" w:fill="FFFFFF"/>
          </w:tcPr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aktualna: 0</w:t>
            </w:r>
          </w:p>
          <w:p w:rsidR="00FD5507" w:rsidRPr="004E6F44" w:rsidRDefault="00715BA0">
            <w:pPr>
              <w:spacing w:after="120"/>
              <w:ind w:left="34"/>
              <w:jc w:val="both"/>
            </w:pPr>
            <w:r w:rsidRPr="004E6F44">
              <w:t>Wartość docelowa: 4</w:t>
            </w:r>
          </w:p>
        </w:tc>
      </w:tr>
      <w:tr w:rsidR="00FD5507">
        <w:trPr>
          <w:trHeight w:val="480"/>
        </w:trPr>
        <w:tc>
          <w:tcPr>
            <w:tcW w:w="1417" w:type="dxa"/>
            <w:shd w:val="clear" w:color="auto" w:fill="E7E6E6"/>
          </w:tcPr>
          <w:p w:rsidR="00FD5507" w:rsidRDefault="00715BA0">
            <w:r>
              <w:t>Metoda pomiaru KPI:</w:t>
            </w:r>
          </w:p>
        </w:tc>
        <w:tc>
          <w:tcPr>
            <w:tcW w:w="8080" w:type="dxa"/>
            <w:shd w:val="clear" w:color="auto" w:fill="FFFFFF"/>
          </w:tcPr>
          <w:p w:rsidR="00FD5507" w:rsidRDefault="00715BA0">
            <w:pPr>
              <w:spacing w:after="120"/>
              <w:ind w:left="34"/>
              <w:jc w:val="both"/>
              <w:rPr>
                <w:color w:val="FF0000"/>
              </w:rPr>
            </w:pPr>
            <w:r>
              <w:t>Metoda pomiaru: identyfikacja liczby API</w:t>
            </w: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830030" w:rsidRDefault="00830030" w:rsidP="00830030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Założenia techniczne projektu Digitarium w pełni umożliwiają łatwy przesył zdigitalizowanego zbioru i bezpieczną integrację w infrastrukturze centralnej. Na podstawie dialogu prowadzonego z autorami projektu KRONIK@ określono standardy współpracy i komunikacji w zakresie integracji zasobów platformy Digitarium z infrastrukturą KRONIK@. W efekcie rozmów, określono następujące wytyczne integracji</w:t>
      </w:r>
      <w:r w:rsidRPr="00061C9E">
        <w:rPr>
          <w:rFonts w:ascii="Calibri" w:eastAsia="Times New Roman" w:hAnsi="Calibri" w:cs="Calibri"/>
          <w:sz w:val="22"/>
          <w:szCs w:val="22"/>
          <w:lang w:eastAsia="en-US"/>
        </w:rPr>
        <w:t xml:space="preserve"> </w:t>
      </w:r>
      <w:r w:rsidRPr="00061C9E">
        <w:rPr>
          <w:rFonts w:eastAsia="Times New Roman"/>
          <w:sz w:val="22"/>
          <w:szCs w:val="22"/>
          <w:lang w:eastAsia="en-US"/>
        </w:rPr>
        <w:t>(z</w:t>
      </w:r>
      <w:r w:rsidRPr="00061C9E">
        <w:rPr>
          <w:rFonts w:eastAsia="Times New Roman"/>
          <w:color w:val="000000"/>
          <w:sz w:val="22"/>
          <w:szCs w:val="22"/>
        </w:rPr>
        <w:t>e względu na wczesny etap inicjalizacji projektu nie jest możliwe podanie dokładnych standardów integracyjnych projektów. Jednakże ze względu na to iż projekt Kronik@ jest projektem typu „reuse” możliwe jest wskazanie podstawowych standardów integracji)</w:t>
      </w:r>
      <w:r w:rsidRPr="00061C9E">
        <w:rPr>
          <w:sz w:val="22"/>
          <w:szCs w:val="22"/>
        </w:rPr>
        <w:t>:</w:t>
      </w:r>
    </w:p>
    <w:p w:rsidR="00830030" w:rsidRPr="00061C9E" w:rsidRDefault="00830030" w:rsidP="00830030">
      <w:pPr>
        <w:rPr>
          <w:rFonts w:eastAsia="Times New Roman"/>
          <w:sz w:val="22"/>
          <w:szCs w:val="22"/>
          <w:lang w:eastAsia="en-US"/>
        </w:rPr>
      </w:pPr>
    </w:p>
    <w:p w:rsidR="00830030" w:rsidRPr="00061C9E" w:rsidRDefault="00830030" w:rsidP="00830030">
      <w:pPr>
        <w:numPr>
          <w:ilvl w:val="0"/>
          <w:numId w:val="19"/>
        </w:numPr>
        <w:jc w:val="both"/>
        <w:rPr>
          <w:rFonts w:eastAsia="Times New Roman"/>
          <w:color w:val="000000"/>
          <w:sz w:val="22"/>
          <w:szCs w:val="22"/>
        </w:rPr>
      </w:pPr>
      <w:r w:rsidRPr="00061C9E">
        <w:rPr>
          <w:rFonts w:eastAsia="Times New Roman"/>
          <w:color w:val="000000"/>
          <w:sz w:val="22"/>
          <w:szCs w:val="22"/>
        </w:rPr>
        <w:t>Możliwe są dwa poziomy integracji z Kronik@. Pierwszy dotyczy integracji tylko spisu metadanych. Drugi dotyczy integracji metadanych oraz plików obiektów (w celu</w:t>
      </w:r>
      <w:bookmarkStart w:id="5" w:name="_GoBack"/>
      <w:bookmarkEnd w:id="5"/>
      <w:r w:rsidRPr="00061C9E">
        <w:rPr>
          <w:rFonts w:eastAsia="Times New Roman"/>
          <w:color w:val="000000"/>
          <w:sz w:val="22"/>
          <w:szCs w:val="22"/>
        </w:rPr>
        <w:t xml:space="preserve"> utrzymania wyników projektów i ich głębokiej archiwizacji). </w:t>
      </w:r>
    </w:p>
    <w:p w:rsidR="00830030" w:rsidRPr="00061C9E" w:rsidRDefault="00830030" w:rsidP="00830030">
      <w:pPr>
        <w:numPr>
          <w:ilvl w:val="0"/>
          <w:numId w:val="19"/>
        </w:numPr>
        <w:jc w:val="both"/>
        <w:rPr>
          <w:rFonts w:eastAsia="Times New Roman"/>
          <w:color w:val="000000"/>
          <w:sz w:val="22"/>
          <w:szCs w:val="22"/>
        </w:rPr>
      </w:pPr>
      <w:r w:rsidRPr="00061C9E">
        <w:rPr>
          <w:rFonts w:eastAsia="Times New Roman"/>
          <w:color w:val="000000"/>
          <w:sz w:val="22"/>
          <w:szCs w:val="22"/>
        </w:rPr>
        <w:lastRenderedPageBreak/>
        <w:t>Integracja z Kronik@ będzie odbywała się na dwóch poziomach. A) integracja na poziomie wymiany obiektów bezpośrednio w bazie danych. B) integracja na poziomie API (REST API zgodnie ze standardem dla danych publicznych). Rekomendowane rozwiązanie B .</w:t>
      </w:r>
    </w:p>
    <w:p w:rsidR="00830030" w:rsidRPr="00061C9E" w:rsidRDefault="00830030" w:rsidP="00830030">
      <w:pPr>
        <w:numPr>
          <w:ilvl w:val="0"/>
          <w:numId w:val="19"/>
        </w:numPr>
        <w:rPr>
          <w:rFonts w:eastAsia="Times New Roman"/>
          <w:color w:val="000000"/>
          <w:sz w:val="22"/>
          <w:szCs w:val="22"/>
        </w:rPr>
      </w:pPr>
      <w:r w:rsidRPr="00061C9E">
        <w:rPr>
          <w:rFonts w:eastAsia="Times New Roman"/>
          <w:color w:val="000000"/>
          <w:sz w:val="22"/>
          <w:szCs w:val="22"/>
        </w:rPr>
        <w:t>API systemów będzie zgodne z Standardem API danych publicznych (</w:t>
      </w:r>
      <w:hyperlink r:id="rId9" w:history="1">
        <w:r w:rsidRPr="00061C9E">
          <w:rPr>
            <w:rFonts w:eastAsia="Times New Roman"/>
            <w:color w:val="954F72"/>
            <w:sz w:val="22"/>
            <w:szCs w:val="22"/>
            <w:u w:val="single"/>
          </w:rPr>
          <w:t>https://www.gov.pl/web/cyfryzacja/standard-interfejsu-programistycznego-aplikacji-api</w:t>
        </w:r>
      </w:hyperlink>
      <w:r w:rsidRPr="00061C9E">
        <w:rPr>
          <w:rFonts w:eastAsia="Times New Roman"/>
          <w:color w:val="000000"/>
          <w:sz w:val="22"/>
          <w:szCs w:val="22"/>
        </w:rPr>
        <w:t xml:space="preserve">) </w:t>
      </w:r>
    </w:p>
    <w:p w:rsidR="00830030" w:rsidRPr="00061C9E" w:rsidRDefault="00830030" w:rsidP="00830030">
      <w:pPr>
        <w:numPr>
          <w:ilvl w:val="0"/>
          <w:numId w:val="19"/>
        </w:numPr>
        <w:jc w:val="both"/>
        <w:rPr>
          <w:rFonts w:eastAsia="Times New Roman"/>
          <w:color w:val="000000"/>
          <w:sz w:val="22"/>
          <w:szCs w:val="22"/>
        </w:rPr>
      </w:pPr>
      <w:r w:rsidRPr="00061C9E">
        <w:rPr>
          <w:rFonts w:eastAsia="Times New Roman"/>
          <w:color w:val="000000"/>
          <w:sz w:val="22"/>
          <w:szCs w:val="22"/>
        </w:rPr>
        <w:t>Każdy obiekt będzie opisany zgodnie z a) podstawowych metadanych zgodnych z  Dublin Core (</w:t>
      </w:r>
      <w:hyperlink r:id="rId10" w:history="1">
        <w:r w:rsidRPr="00061C9E">
          <w:rPr>
            <w:rFonts w:eastAsia="Times New Roman"/>
            <w:color w:val="954F72"/>
            <w:sz w:val="22"/>
            <w:szCs w:val="22"/>
            <w:u w:val="single"/>
          </w:rPr>
          <w:t>https://pl.wikipedia.org/wiki/Dublin_Core</w:t>
        </w:r>
      </w:hyperlink>
      <w:r w:rsidRPr="00061C9E">
        <w:rPr>
          <w:rFonts w:eastAsia="Times New Roman"/>
          <w:color w:val="000000"/>
          <w:sz w:val="22"/>
          <w:szCs w:val="22"/>
        </w:rPr>
        <w:t xml:space="preserve">) oraz innymi wspieranymi standardami opisów obiektów kultury i nauki (jako metadane rozszerzone). </w:t>
      </w:r>
    </w:p>
    <w:p w:rsidR="00830030" w:rsidRPr="00061C9E" w:rsidRDefault="00830030" w:rsidP="00830030">
      <w:pPr>
        <w:numPr>
          <w:ilvl w:val="0"/>
          <w:numId w:val="19"/>
        </w:numPr>
        <w:jc w:val="both"/>
        <w:rPr>
          <w:rFonts w:eastAsia="Times New Roman"/>
          <w:color w:val="000000"/>
          <w:sz w:val="22"/>
          <w:szCs w:val="22"/>
        </w:rPr>
      </w:pPr>
      <w:r w:rsidRPr="00061C9E">
        <w:rPr>
          <w:rFonts w:eastAsia="Times New Roman"/>
          <w:color w:val="000000"/>
          <w:sz w:val="22"/>
          <w:szCs w:val="22"/>
        </w:rPr>
        <w:t>Kronik@ będzie wspierać wiele słowników opisu i zarządzania metadanych. Pełna mapa standardów będzie przedstawiona w pierwszej fazie realizacji projektu w szczegółowym podziale na standardy opisu, zarządzania oraz prezentacji obiektów.</w:t>
      </w:r>
    </w:p>
    <w:p w:rsidR="00830030" w:rsidRDefault="00830030">
      <w:pPr>
        <w:rPr>
          <w:color w:val="000000"/>
        </w:rPr>
      </w:pPr>
      <w:r>
        <w:rPr>
          <w:color w:val="000000"/>
        </w:rPr>
        <w:br w:type="page"/>
      </w:r>
    </w:p>
    <w:p w:rsidR="00FD5507" w:rsidRDefault="00715BA0">
      <w:pPr>
        <w:pStyle w:val="Nagwek2"/>
        <w:numPr>
          <w:ilvl w:val="1"/>
          <w:numId w:val="3"/>
        </w:numPr>
        <w:tabs>
          <w:tab w:val="left" w:pos="4962"/>
        </w:tabs>
        <w:spacing w:after="360"/>
      </w:pPr>
      <w:bookmarkStart w:id="6" w:name="_tyjcwt" w:colFirst="0" w:colLast="0"/>
      <w:bookmarkEnd w:id="6"/>
      <w:r>
        <w:lastRenderedPageBreak/>
        <w:t xml:space="preserve">Udostępnione e-usługi </w:t>
      </w:r>
    </w:p>
    <w:tbl>
      <w:tblPr>
        <w:tblStyle w:val="a2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2418"/>
        <w:gridCol w:w="709"/>
        <w:gridCol w:w="4394"/>
        <w:gridCol w:w="1843"/>
      </w:tblGrid>
      <w:tr w:rsidR="00FD5507">
        <w:tc>
          <w:tcPr>
            <w:tcW w:w="525" w:type="dxa"/>
            <w:shd w:val="clear" w:color="auto" w:fill="E7E6E6"/>
          </w:tcPr>
          <w:p w:rsidR="00FD5507" w:rsidRDefault="00715BA0">
            <w:pPr>
              <w:jc w:val="center"/>
            </w:pPr>
            <w:r>
              <w:t>Lp.</w:t>
            </w:r>
          </w:p>
        </w:tc>
        <w:tc>
          <w:tcPr>
            <w:tcW w:w="2418" w:type="dxa"/>
            <w:shd w:val="clear" w:color="auto" w:fill="E7E6E6"/>
          </w:tcPr>
          <w:p w:rsidR="00FD5507" w:rsidRDefault="00715BA0">
            <w:pPr>
              <w:jc w:val="center"/>
            </w:pPr>
            <w:r>
              <w:t xml:space="preserve">Nazwa </w:t>
            </w:r>
            <w:r>
              <w:br/>
              <w:t xml:space="preserve">e-usługi </w:t>
            </w:r>
          </w:p>
        </w:tc>
        <w:tc>
          <w:tcPr>
            <w:tcW w:w="709" w:type="dxa"/>
            <w:shd w:val="clear" w:color="auto" w:fill="E7E6E6"/>
          </w:tcPr>
          <w:p w:rsidR="00FD5507" w:rsidRDefault="00715BA0">
            <w:pPr>
              <w:jc w:val="center"/>
            </w:pPr>
            <w:r>
              <w:t xml:space="preserve">Typ </w:t>
            </w:r>
            <w:r>
              <w:br/>
            </w:r>
          </w:p>
        </w:tc>
        <w:tc>
          <w:tcPr>
            <w:tcW w:w="4394" w:type="dxa"/>
            <w:shd w:val="clear" w:color="auto" w:fill="E7E6E6"/>
          </w:tcPr>
          <w:p w:rsidR="00FD5507" w:rsidRDefault="00715BA0">
            <w:pPr>
              <w:jc w:val="center"/>
            </w:pPr>
            <w:r>
              <w:t>Zakres oddziaływania</w:t>
            </w:r>
          </w:p>
        </w:tc>
        <w:tc>
          <w:tcPr>
            <w:tcW w:w="1843" w:type="dxa"/>
            <w:shd w:val="clear" w:color="auto" w:fill="E7E6E6"/>
          </w:tcPr>
          <w:p w:rsidR="00FD5507" w:rsidRDefault="00715BA0">
            <w:pPr>
              <w:jc w:val="center"/>
            </w:pPr>
            <w:r>
              <w:t xml:space="preserve">Poziom dojrzałości </w:t>
            </w:r>
            <w:r>
              <w:br/>
              <w:t>e-usługi</w:t>
            </w:r>
            <w:r>
              <w:rPr>
                <w:vertAlign w:val="superscript"/>
              </w:rPr>
              <w:footnoteReference w:id="1"/>
            </w:r>
          </w:p>
          <w:p w:rsidR="00FD5507" w:rsidRDefault="00715BA0">
            <w:pPr>
              <w:jc w:val="center"/>
            </w:pPr>
            <w:r>
              <w:t>(nie dotyczy procesów back-office)</w:t>
            </w:r>
          </w:p>
        </w:tc>
      </w:tr>
      <w:tr w:rsidR="00FD5507">
        <w:tc>
          <w:tcPr>
            <w:tcW w:w="525" w:type="dxa"/>
          </w:tcPr>
          <w:p w:rsidR="00FD5507" w:rsidRDefault="00715BA0">
            <w:pPr>
              <w:jc w:val="both"/>
            </w:pPr>
            <w:r>
              <w:t>1.</w:t>
            </w:r>
          </w:p>
        </w:tc>
        <w:tc>
          <w:tcPr>
            <w:tcW w:w="2418" w:type="dxa"/>
          </w:tcPr>
          <w:p w:rsidR="00FD5507" w:rsidRDefault="00715BA0">
            <w:r>
              <w:rPr>
                <w:highlight w:val="white"/>
              </w:rPr>
              <w:t>Usługa publikacji informacji o wdrożeniach badań B+R</w:t>
            </w:r>
          </w:p>
        </w:tc>
        <w:tc>
          <w:tcPr>
            <w:tcW w:w="709" w:type="dxa"/>
          </w:tcPr>
          <w:p w:rsidR="00FD5507" w:rsidRDefault="00FD5507">
            <w:pPr>
              <w:jc w:val="center"/>
            </w:pPr>
          </w:p>
          <w:p w:rsidR="00FD5507" w:rsidRDefault="00715BA0">
            <w:pPr>
              <w:jc w:val="center"/>
            </w:pPr>
            <w:r>
              <w:t>A2A</w:t>
            </w:r>
          </w:p>
          <w:p w:rsidR="00FD5507" w:rsidRDefault="00715BA0">
            <w:pPr>
              <w:jc w:val="center"/>
            </w:pPr>
            <w:r>
              <w:t>A2B</w:t>
            </w:r>
          </w:p>
          <w:p w:rsidR="00FD5507" w:rsidRDefault="00715BA0">
            <w:pPr>
              <w:jc w:val="center"/>
            </w:pPr>
            <w:r>
              <w:t>A2C</w:t>
            </w:r>
          </w:p>
        </w:tc>
        <w:tc>
          <w:tcPr>
            <w:tcW w:w="4394" w:type="dxa"/>
          </w:tcPr>
          <w:p w:rsidR="00FD5507" w:rsidRDefault="00715BA0">
            <w:r>
              <w:t>Administracja publiczna, aktualizacja systemów PBN, przedsiębiorstwa poszukujące partnerów lub innowacyjnych produktów do wdrożenia, sfera nauki poszukująca informacji o trendach i nowościach z tematyki prac instytutów lub pragnąca taką informację zamieścić.</w:t>
            </w:r>
          </w:p>
          <w:p w:rsidR="00FD5507" w:rsidRDefault="00715BA0">
            <w:r>
              <w:t>Szacowana liczba użytkowników: 25 tys./rok</w:t>
            </w:r>
          </w:p>
        </w:tc>
        <w:tc>
          <w:tcPr>
            <w:tcW w:w="1843" w:type="dxa"/>
          </w:tcPr>
          <w:p w:rsidR="00FD5507" w:rsidRDefault="00FD5507">
            <w:pPr>
              <w:jc w:val="center"/>
            </w:pPr>
          </w:p>
          <w:p w:rsidR="00FD5507" w:rsidRDefault="00380431">
            <w:pPr>
              <w:jc w:val="center"/>
            </w:pPr>
            <w:r>
              <w:t>4</w:t>
            </w:r>
          </w:p>
        </w:tc>
      </w:tr>
      <w:tr w:rsidR="00FD5507">
        <w:tc>
          <w:tcPr>
            <w:tcW w:w="525" w:type="dxa"/>
          </w:tcPr>
          <w:p w:rsidR="00FD5507" w:rsidRDefault="00715BA0">
            <w:pPr>
              <w:jc w:val="both"/>
            </w:pPr>
            <w:r>
              <w:t>2.</w:t>
            </w:r>
          </w:p>
        </w:tc>
        <w:tc>
          <w:tcPr>
            <w:tcW w:w="2418" w:type="dxa"/>
          </w:tcPr>
          <w:p w:rsidR="00FD5507" w:rsidRDefault="00715BA0">
            <w:pPr>
              <w:jc w:val="center"/>
            </w:pPr>
            <w:r>
              <w:rPr>
                <w:highlight w:val="white"/>
              </w:rPr>
              <w:t>e-archiwum techniki (elektroniczny dostęp do prac archiwalnych od roku 1946)</w:t>
            </w:r>
          </w:p>
        </w:tc>
        <w:tc>
          <w:tcPr>
            <w:tcW w:w="709" w:type="dxa"/>
          </w:tcPr>
          <w:p w:rsidR="00FD5507" w:rsidRDefault="00715BA0">
            <w:pPr>
              <w:jc w:val="center"/>
            </w:pPr>
            <w:r>
              <w:t>A2C</w:t>
            </w:r>
          </w:p>
        </w:tc>
        <w:tc>
          <w:tcPr>
            <w:tcW w:w="4394" w:type="dxa"/>
          </w:tcPr>
          <w:p w:rsidR="00FD5507" w:rsidRDefault="00715BA0">
            <w:r>
              <w:t>Poszukiwanie informacji ze sfery nauki (studenci, uczniowie, nauczyciele wszystkich stopni nauczania)</w:t>
            </w:r>
          </w:p>
          <w:p w:rsidR="00FD5507" w:rsidRDefault="00715BA0">
            <w:r>
              <w:t>Liczba użytkowników: 15 tys./rok.</w:t>
            </w:r>
          </w:p>
        </w:tc>
        <w:tc>
          <w:tcPr>
            <w:tcW w:w="1843" w:type="dxa"/>
          </w:tcPr>
          <w:p w:rsidR="00FD5507" w:rsidRDefault="00380431">
            <w:pPr>
              <w:jc w:val="center"/>
            </w:pPr>
            <w:r>
              <w:t>4</w:t>
            </w:r>
          </w:p>
        </w:tc>
      </w:tr>
      <w:tr w:rsidR="00FD5507">
        <w:tc>
          <w:tcPr>
            <w:tcW w:w="525" w:type="dxa"/>
          </w:tcPr>
          <w:p w:rsidR="00FD5507" w:rsidRDefault="00715BA0">
            <w:pPr>
              <w:jc w:val="both"/>
            </w:pPr>
            <w:r>
              <w:t>3.</w:t>
            </w:r>
          </w:p>
        </w:tc>
        <w:tc>
          <w:tcPr>
            <w:tcW w:w="2418" w:type="dxa"/>
          </w:tcPr>
          <w:p w:rsidR="00FD5507" w:rsidRDefault="00715BA0">
            <w:pPr>
              <w:jc w:val="center"/>
            </w:pPr>
            <w:r>
              <w:rPr>
                <w:highlight w:val="white"/>
              </w:rPr>
              <w:t>Journals</w:t>
            </w:r>
          </w:p>
          <w:p w:rsidR="00FD5507" w:rsidRDefault="00715BA0">
            <w:pPr>
              <w:jc w:val="center"/>
            </w:pPr>
            <w:r>
              <w:rPr>
                <w:highlight w:val="white"/>
              </w:rPr>
              <w:t xml:space="preserve">(wyszukiwanie i możliwość publikacji w anglojęzycznych wersjach </w:t>
            </w:r>
            <w:r>
              <w:t>6 czasopism n</w:t>
            </w:r>
            <w:r>
              <w:rPr>
                <w:highlight w:val="white"/>
              </w:rPr>
              <w:t>aukowych</w:t>
            </w:r>
          </w:p>
        </w:tc>
        <w:tc>
          <w:tcPr>
            <w:tcW w:w="709" w:type="dxa"/>
          </w:tcPr>
          <w:p w:rsidR="00FD5507" w:rsidRDefault="00715BA0">
            <w:pPr>
              <w:jc w:val="center"/>
            </w:pPr>
            <w:r>
              <w:t>A2B</w:t>
            </w:r>
          </w:p>
          <w:p w:rsidR="00FD5507" w:rsidRDefault="00715BA0">
            <w:pPr>
              <w:jc w:val="center"/>
            </w:pPr>
            <w:r>
              <w:t>A2C</w:t>
            </w:r>
          </w:p>
        </w:tc>
        <w:tc>
          <w:tcPr>
            <w:tcW w:w="4394" w:type="dxa"/>
          </w:tcPr>
          <w:p w:rsidR="00FD5507" w:rsidRDefault="00715BA0">
            <w:r>
              <w:t>Sfera biznesu i nauki poszukuje i publikuje informacje o innowacyjnych produktach i usługach.</w:t>
            </w:r>
          </w:p>
          <w:p w:rsidR="00FD5507" w:rsidRDefault="00715BA0">
            <w:r>
              <w:t>Szacowana liczba użytkowników: 60 tys./rok</w:t>
            </w:r>
          </w:p>
        </w:tc>
        <w:tc>
          <w:tcPr>
            <w:tcW w:w="1843" w:type="dxa"/>
          </w:tcPr>
          <w:p w:rsidR="00FD5507" w:rsidRDefault="00380431">
            <w:pPr>
              <w:jc w:val="center"/>
            </w:pPr>
            <w:r>
              <w:t>4</w:t>
            </w:r>
          </w:p>
        </w:tc>
      </w:tr>
    </w:tbl>
    <w:p w:rsidR="00FD5507" w:rsidRDefault="00FD5507">
      <w:pPr>
        <w:pStyle w:val="Nagwek2"/>
        <w:spacing w:after="0"/>
        <w:ind w:left="0" w:firstLine="0"/>
      </w:pPr>
    </w:p>
    <w:p w:rsidR="00FD5507" w:rsidRDefault="00715BA0">
      <w:pPr>
        <w:pStyle w:val="Nagwek2"/>
        <w:numPr>
          <w:ilvl w:val="1"/>
          <w:numId w:val="4"/>
        </w:numPr>
        <w:spacing w:after="360"/>
      </w:pPr>
      <w:r>
        <w:t xml:space="preserve">Udostępnione informacje sektora publicznego i zdigitalizowane zasoby </w:t>
      </w:r>
    </w:p>
    <w:p w:rsidR="00FD5507" w:rsidRDefault="00715BA0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  <w:r>
        <w:rPr>
          <w:color w:val="000000"/>
        </w:rPr>
        <w:t>Czy wszystkie zdigitalizowane zasoby objęte projektem będą udostępniane bezpłatnie? TAK/</w:t>
      </w:r>
      <w:r>
        <w:rPr>
          <w:strike/>
          <w:color w:val="000000"/>
        </w:rPr>
        <w:t xml:space="preserve">NIE </w:t>
      </w:r>
      <w:r>
        <w:rPr>
          <w:strike/>
          <w:color w:val="000000"/>
          <w:vertAlign w:val="superscript"/>
        </w:rPr>
        <w:footnoteReference w:id="2"/>
      </w:r>
    </w:p>
    <w:tbl>
      <w:tblPr>
        <w:tblStyle w:val="a3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8"/>
        <w:gridCol w:w="2410"/>
        <w:gridCol w:w="4111"/>
      </w:tblGrid>
      <w:tr w:rsidR="00FD5507">
        <w:tc>
          <w:tcPr>
            <w:tcW w:w="3118" w:type="dxa"/>
            <w:shd w:val="clear" w:color="auto" w:fill="E7E6E6"/>
            <w:vAlign w:val="center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 xml:space="preserve">Rodzaj </w:t>
            </w:r>
          </w:p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informacji / zasobów</w:t>
            </w:r>
          </w:p>
        </w:tc>
        <w:tc>
          <w:tcPr>
            <w:tcW w:w="2410" w:type="dxa"/>
            <w:shd w:val="clear" w:color="auto" w:fill="E7E6E6"/>
            <w:vAlign w:val="center"/>
          </w:tcPr>
          <w:p w:rsidR="00FD5507" w:rsidRDefault="00715BA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Planowana data udostępnienia</w:t>
            </w:r>
          </w:p>
        </w:tc>
        <w:tc>
          <w:tcPr>
            <w:tcW w:w="4111" w:type="dxa"/>
            <w:shd w:val="clear" w:color="auto" w:fill="E7E6E6"/>
            <w:vAlign w:val="center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Szacowana liczba obiektów  objętych digitalizacją (udostępnianiem informacji)</w:t>
            </w:r>
          </w:p>
          <w:p w:rsidR="00FD5507" w:rsidRDefault="00FD5507">
            <w:pPr>
              <w:jc w:val="center"/>
              <w:rPr>
                <w:b/>
              </w:rPr>
            </w:pPr>
          </w:p>
        </w:tc>
      </w:tr>
      <w:tr w:rsidR="00FD5507">
        <w:trPr>
          <w:trHeight w:val="220"/>
        </w:trPr>
        <w:tc>
          <w:tcPr>
            <w:tcW w:w="3118" w:type="dxa"/>
          </w:tcPr>
          <w:p w:rsidR="00FD5507" w:rsidRDefault="00715BA0">
            <w:pPr>
              <w:rPr>
                <w:color w:val="0070C0"/>
              </w:rPr>
            </w:pPr>
            <w:r>
              <w:t>Monografie własne</w:t>
            </w:r>
          </w:p>
        </w:tc>
        <w:tc>
          <w:tcPr>
            <w:tcW w:w="2410" w:type="dxa"/>
          </w:tcPr>
          <w:p w:rsidR="00FD5507" w:rsidRPr="00940CE6" w:rsidRDefault="00940CE6" w:rsidP="00940CE6">
            <w:pPr>
              <w:jc w:val="center"/>
              <w:rPr>
                <w:color w:val="0070C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 </w:t>
            </w:r>
            <w:r w:rsidRPr="00940CE6">
              <w:rPr>
                <w:sz w:val="18"/>
                <w:szCs w:val="18"/>
              </w:rPr>
              <w:t>03.2022</w:t>
            </w:r>
          </w:p>
        </w:tc>
        <w:tc>
          <w:tcPr>
            <w:tcW w:w="4111" w:type="dxa"/>
          </w:tcPr>
          <w:p w:rsidR="00FD5507" w:rsidRDefault="00715BA0">
            <w:pPr>
              <w:jc w:val="center"/>
              <w:rPr>
                <w:color w:val="948A54"/>
                <w:sz w:val="18"/>
                <w:szCs w:val="18"/>
              </w:rPr>
            </w:pPr>
            <w:r>
              <w:t>113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t>Prace naukowo-badawcze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t>8402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t>Artykuły naukowe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t>6481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t>Normy branżowe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t>1 000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t>Materiały konferencyjne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t>570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t xml:space="preserve">Dokumenty faktograficzne (zdjęcia, </w:t>
            </w:r>
            <w:r>
              <w:lastRenderedPageBreak/>
              <w:t>filmy, dane badawcze, ulotki informacyjno-instruktażowe)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lastRenderedPageBreak/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t>8877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lastRenderedPageBreak/>
              <w:t>Dokumentacja konstrukcyjna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t>417</w:t>
            </w:r>
          </w:p>
        </w:tc>
      </w:tr>
      <w:tr w:rsidR="00940CE6">
        <w:trPr>
          <w:trHeight w:val="220"/>
        </w:trPr>
        <w:tc>
          <w:tcPr>
            <w:tcW w:w="3118" w:type="dxa"/>
          </w:tcPr>
          <w:p w:rsidR="00940CE6" w:rsidRDefault="00940CE6">
            <w:pPr>
              <w:rPr>
                <w:color w:val="0070C0"/>
              </w:rPr>
            </w:pPr>
            <w:r>
              <w:t>Razem</w:t>
            </w:r>
          </w:p>
        </w:tc>
        <w:tc>
          <w:tcPr>
            <w:tcW w:w="2410" w:type="dxa"/>
          </w:tcPr>
          <w:p w:rsidR="00940CE6" w:rsidRDefault="00940CE6" w:rsidP="00940CE6">
            <w:pPr>
              <w:jc w:val="center"/>
            </w:pPr>
            <w:r w:rsidRPr="000928EE">
              <w:rPr>
                <w:sz w:val="18"/>
                <w:szCs w:val="18"/>
              </w:rPr>
              <w:t>do 03.2022</w:t>
            </w:r>
          </w:p>
        </w:tc>
        <w:tc>
          <w:tcPr>
            <w:tcW w:w="4111" w:type="dxa"/>
          </w:tcPr>
          <w:p w:rsidR="00940CE6" w:rsidRDefault="00940CE6">
            <w:pPr>
              <w:jc w:val="center"/>
              <w:rPr>
                <w:color w:val="0070C0"/>
              </w:rPr>
            </w:pPr>
            <w:r>
              <w:rPr>
                <w:b/>
              </w:rPr>
              <w:t>25 860</w:t>
            </w:r>
          </w:p>
        </w:tc>
      </w:tr>
    </w:tbl>
    <w:p w:rsidR="00FD5507" w:rsidRDefault="00FD5507">
      <w:pPr>
        <w:pStyle w:val="Nagwek2"/>
        <w:keepNext/>
        <w:keepLines/>
        <w:spacing w:before="40" w:line="256" w:lineRule="auto"/>
        <w:ind w:left="786" w:right="0" w:firstLine="0"/>
      </w:pPr>
    </w:p>
    <w:p w:rsidR="00FD5507" w:rsidRDefault="00715BA0">
      <w:pPr>
        <w:pStyle w:val="Nagwek2"/>
        <w:keepLines/>
        <w:spacing w:before="40" w:line="256" w:lineRule="auto"/>
        <w:ind w:left="0" w:firstLine="720"/>
      </w:pPr>
      <w:r>
        <w:t>2.4</w:t>
      </w:r>
      <w:r>
        <w:tab/>
        <w:t xml:space="preserve">Produkty końcowe projektu </w:t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ind w:left="900" w:hanging="900"/>
        <w:rPr>
          <w:color w:val="0070C0"/>
          <w:sz w:val="22"/>
          <w:szCs w:val="22"/>
        </w:rPr>
      </w:pPr>
    </w:p>
    <w:tbl>
      <w:tblPr>
        <w:tblStyle w:val="a4"/>
        <w:tblW w:w="9617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7"/>
        <w:gridCol w:w="2410"/>
      </w:tblGrid>
      <w:tr w:rsidR="006A5785" w:rsidTr="006A5785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785" w:rsidRDefault="006A5785">
            <w:pPr>
              <w:jc w:val="center"/>
              <w:rPr>
                <w:b/>
              </w:rPr>
            </w:pPr>
            <w:r>
              <w:rPr>
                <w:b/>
              </w:rPr>
              <w:t>Nazwa produktu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85" w:rsidRDefault="006A5785" w:rsidP="006A5785">
            <w:pPr>
              <w:jc w:val="center"/>
              <w:rPr>
                <w:color w:val="0070C0"/>
              </w:rPr>
            </w:pPr>
            <w:r>
              <w:rPr>
                <w:b/>
              </w:rPr>
              <w:t>Planowana data wdrożenia</w:t>
            </w:r>
          </w:p>
        </w:tc>
      </w:tr>
      <w:tr w:rsidR="006A5785" w:rsidTr="006A5785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785" w:rsidRDefault="006A5785">
            <w:pPr>
              <w:rPr>
                <w:color w:val="0070C0"/>
              </w:rPr>
            </w:pPr>
            <w:r>
              <w:t>Portal udostępniania zasobów nauki instytutów badawczych -</w:t>
            </w:r>
            <w:r w:rsidR="00A20081">
              <w:t xml:space="preserve"> </w:t>
            </w:r>
            <w:r>
              <w:t>Digitarium Instytutów Badawczych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785" w:rsidRDefault="006A5785">
            <w:pPr>
              <w:jc w:val="center"/>
            </w:pPr>
            <w:r>
              <w:t>03.2022</w:t>
            </w:r>
          </w:p>
        </w:tc>
      </w:tr>
      <w:tr w:rsidR="006A5785" w:rsidTr="006A5785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785" w:rsidRDefault="006A5785">
            <w:r>
              <w:t xml:space="preserve">Publiczny interfejs API dostępu do zasobów </w:t>
            </w:r>
            <w:r>
              <w:t>Digitarium Instytutów Badawczych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785" w:rsidRDefault="006A5785">
            <w:pPr>
              <w:jc w:val="center"/>
            </w:pPr>
            <w:r>
              <w:t>03.2022</w:t>
            </w:r>
          </w:p>
        </w:tc>
      </w:tr>
      <w:tr w:rsidR="006A5785" w:rsidTr="006A5785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785" w:rsidRDefault="006A5785" w:rsidP="006A5785">
            <w:r>
              <w:t xml:space="preserve">Baza danych zasobów </w:t>
            </w:r>
            <w:r>
              <w:t>PIMR</w:t>
            </w:r>
            <w:r>
              <w:t xml:space="preserve"> udostępnionych on-line poprzez API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785" w:rsidRDefault="006A5785">
            <w:pPr>
              <w:jc w:val="center"/>
            </w:pPr>
            <w:r>
              <w:t>03.2022</w:t>
            </w:r>
          </w:p>
        </w:tc>
      </w:tr>
      <w:tr w:rsidR="006A5785" w:rsidTr="006D3B9E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785" w:rsidRDefault="006A5785" w:rsidP="006A5785">
            <w:r>
              <w:t xml:space="preserve">Baza danych zasobów </w:t>
            </w:r>
            <w:r>
              <w:t>INOP</w:t>
            </w:r>
            <w:r>
              <w:t xml:space="preserve"> udostępnionych on-line poprzez API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85" w:rsidRDefault="006A5785" w:rsidP="006A5785">
            <w:pPr>
              <w:jc w:val="center"/>
            </w:pPr>
            <w:r w:rsidRPr="001862AA">
              <w:t>03.2022</w:t>
            </w:r>
          </w:p>
        </w:tc>
      </w:tr>
      <w:tr w:rsidR="006A5785" w:rsidTr="006D3B9E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785" w:rsidRDefault="006A5785" w:rsidP="006A5785">
            <w:r>
              <w:t xml:space="preserve">Baza danych zasobów </w:t>
            </w:r>
            <w:r>
              <w:t>IPR „TABOR”</w:t>
            </w:r>
            <w:r>
              <w:t xml:space="preserve"> udostępnionych on-line poprzez API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85" w:rsidRDefault="006A5785" w:rsidP="006A5785">
            <w:pPr>
              <w:jc w:val="center"/>
            </w:pPr>
            <w:r w:rsidRPr="001862AA">
              <w:t>03.2022</w:t>
            </w:r>
          </w:p>
        </w:tc>
      </w:tr>
      <w:tr w:rsidR="006A5785" w:rsidTr="006D3B9E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785" w:rsidRDefault="006A5785" w:rsidP="006A5785">
            <w:r>
              <w:t xml:space="preserve">Baza danych zasobów </w:t>
            </w:r>
            <w:r>
              <w:t>ITD</w:t>
            </w:r>
            <w:r>
              <w:t xml:space="preserve"> udostępnionych on-line poprzez API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85" w:rsidRDefault="006A5785" w:rsidP="006A5785">
            <w:pPr>
              <w:jc w:val="center"/>
            </w:pPr>
            <w:r w:rsidRPr="001862AA">
              <w:t>03.2022</w:t>
            </w:r>
          </w:p>
        </w:tc>
      </w:tr>
      <w:tr w:rsidR="006A5785" w:rsidTr="006D3B9E"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785" w:rsidRDefault="006A5785" w:rsidP="006A5785">
            <w:r>
              <w:t xml:space="preserve">Baza danych zasobów </w:t>
            </w:r>
            <w:r>
              <w:t>IWNiRZ</w:t>
            </w:r>
            <w:r>
              <w:t xml:space="preserve"> udostępnionych on-line poprzez API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785" w:rsidRDefault="006A5785" w:rsidP="006A5785">
            <w:pPr>
              <w:jc w:val="center"/>
            </w:pPr>
            <w:r w:rsidRPr="001862AA">
              <w:t>03.2022</w:t>
            </w:r>
          </w:p>
        </w:tc>
      </w:tr>
    </w:tbl>
    <w:p w:rsidR="00FD5507" w:rsidRDefault="00715BA0" w:rsidP="00940CE6">
      <w:pPr>
        <w:pStyle w:val="Nagwek1"/>
        <w:numPr>
          <w:ilvl w:val="0"/>
          <w:numId w:val="4"/>
        </w:numPr>
      </w:pPr>
      <w:r>
        <w:t xml:space="preserve">KAMIENIE MILOWE </w:t>
      </w:r>
    </w:p>
    <w:p w:rsidR="00FD5507" w:rsidRDefault="00FD5507"/>
    <w:tbl>
      <w:tblPr>
        <w:tblStyle w:val="a5"/>
        <w:tblW w:w="9630" w:type="dxa"/>
        <w:tblInd w:w="3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15"/>
        <w:gridCol w:w="2415"/>
      </w:tblGrid>
      <w:tr w:rsidR="00FD5507" w:rsidTr="00940CE6">
        <w:trPr>
          <w:trHeight w:val="608"/>
        </w:trPr>
        <w:tc>
          <w:tcPr>
            <w:tcW w:w="7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spacing w:before="120"/>
              <w:ind w:left="420"/>
              <w:jc w:val="center"/>
              <w:rPr>
                <w:b/>
              </w:rPr>
            </w:pPr>
            <w:r>
              <w:rPr>
                <w:b/>
              </w:rPr>
              <w:t>Kamienie milowe</w:t>
            </w:r>
          </w:p>
        </w:tc>
        <w:tc>
          <w:tcPr>
            <w:tcW w:w="24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 w:rsidP="00940CE6">
            <w:pPr>
              <w:spacing w:before="120" w:after="120"/>
              <w:ind w:left="56"/>
              <w:jc w:val="center"/>
              <w:rPr>
                <w:b/>
              </w:rPr>
            </w:pPr>
            <w:r>
              <w:rPr>
                <w:b/>
              </w:rPr>
              <w:t>Planowany termin osiągnięcia</w:t>
            </w:r>
          </w:p>
        </w:tc>
      </w:tr>
      <w:tr w:rsidR="00FD5507" w:rsidTr="00940CE6">
        <w:trPr>
          <w:trHeight w:val="440"/>
        </w:trPr>
        <w:tc>
          <w:tcPr>
            <w:tcW w:w="7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/>
              <w:rPr>
                <w:highlight w:val="white"/>
              </w:rPr>
            </w:pPr>
            <w:r>
              <w:rPr>
                <w:highlight w:val="white"/>
              </w:rPr>
              <w:t>Przygotowanie węzłów dostępu do systemu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 w:hanging="2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2019-12-31</w:t>
            </w:r>
          </w:p>
        </w:tc>
      </w:tr>
      <w:tr w:rsidR="00FD5507" w:rsidTr="00940CE6">
        <w:trPr>
          <w:trHeight w:val="440"/>
        </w:trPr>
        <w:tc>
          <w:tcPr>
            <w:tcW w:w="7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/>
            </w:pPr>
            <w:r>
              <w:t>Instalacja i testowanie środowiska Dspace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 w:hanging="2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2020-07-31</w:t>
            </w:r>
          </w:p>
        </w:tc>
      </w:tr>
      <w:tr w:rsidR="00FD5507" w:rsidTr="00940CE6">
        <w:trPr>
          <w:trHeight w:val="440"/>
        </w:trPr>
        <w:tc>
          <w:tcPr>
            <w:tcW w:w="7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/>
            </w:pPr>
            <w:r>
              <w:t>Implementacja modułów usług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 w:hanging="2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2021-01-31</w:t>
            </w:r>
          </w:p>
        </w:tc>
      </w:tr>
      <w:tr w:rsidR="00FD5507" w:rsidTr="00940CE6">
        <w:trPr>
          <w:trHeight w:val="440"/>
        </w:trPr>
        <w:tc>
          <w:tcPr>
            <w:tcW w:w="7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/>
            </w:pPr>
            <w:r>
              <w:t>Uruchomienie wersji testowej systemu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 w:hanging="2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2021-03-31</w:t>
            </w:r>
          </w:p>
        </w:tc>
      </w:tr>
      <w:tr w:rsidR="00FD5507" w:rsidTr="00940CE6">
        <w:trPr>
          <w:trHeight w:val="440"/>
        </w:trPr>
        <w:tc>
          <w:tcPr>
            <w:tcW w:w="7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/>
            </w:pPr>
            <w:r>
              <w:t>Wdrożenie wersji produkcyjnej Digitarium</w:t>
            </w:r>
          </w:p>
        </w:tc>
        <w:tc>
          <w:tcPr>
            <w:tcW w:w="241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5507" w:rsidRDefault="00715BA0">
            <w:pPr>
              <w:ind w:left="420" w:hanging="2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2022-01-31</w:t>
            </w:r>
          </w:p>
        </w:tc>
      </w:tr>
    </w:tbl>
    <w:p w:rsidR="00FD5507" w:rsidRDefault="00FD5507"/>
    <w:p w:rsidR="00FD5507" w:rsidRDefault="00715BA0" w:rsidP="00940CE6">
      <w:pPr>
        <w:pStyle w:val="Nagwek1"/>
        <w:numPr>
          <w:ilvl w:val="0"/>
          <w:numId w:val="4"/>
        </w:numPr>
      </w:pPr>
      <w:bookmarkStart w:id="7" w:name="_3dy6vkm" w:colFirst="0" w:colLast="0"/>
      <w:bookmarkEnd w:id="7"/>
      <w:r>
        <w:lastRenderedPageBreak/>
        <w:t xml:space="preserve">KOSZTY </w:t>
      </w:r>
    </w:p>
    <w:p w:rsidR="00FD5507" w:rsidRDefault="00621E36">
      <w:pPr>
        <w:pStyle w:val="Nagwek2"/>
        <w:spacing w:after="0"/>
        <w:ind w:left="710" w:firstLine="0"/>
      </w:pPr>
      <w:bookmarkStart w:id="8" w:name="_1t3h5sf" w:colFirst="0" w:colLast="0"/>
      <w:bookmarkEnd w:id="8"/>
      <w:r>
        <w:t>4</w:t>
      </w:r>
      <w:r w:rsidR="00715BA0">
        <w:t>.1 Koszty ogólne projektu wraz ze sposobem finansowania</w:t>
      </w: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993"/>
        <w:gridCol w:w="6237"/>
      </w:tblGrid>
      <w:tr w:rsidR="00FD5507">
        <w:trPr>
          <w:trHeight w:val="380"/>
        </w:trPr>
        <w:tc>
          <w:tcPr>
            <w:tcW w:w="2409" w:type="dxa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Całkowity koszt projektu (netto oraz brutto),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 xml:space="preserve">6 468 633,10 </w:t>
            </w:r>
            <w:r w:rsidR="00A0351F">
              <w:rPr>
                <w:b/>
              </w:rPr>
              <w:t xml:space="preserve">zł </w:t>
            </w:r>
            <w:r>
              <w:rPr>
                <w:b/>
              </w:rPr>
              <w:t>(netto)</w:t>
            </w:r>
          </w:p>
          <w:p w:rsidR="00FD5507" w:rsidRDefault="00715BA0">
            <w:pPr>
              <w:rPr>
                <w:color w:val="0070C0"/>
              </w:rPr>
            </w:pPr>
            <w:r>
              <w:rPr>
                <w:b/>
              </w:rPr>
              <w:t xml:space="preserve">6 852 414,45 </w:t>
            </w:r>
            <w:r w:rsidR="00A0351F">
              <w:rPr>
                <w:b/>
              </w:rPr>
              <w:t xml:space="preserve">zł </w:t>
            </w:r>
            <w:r>
              <w:rPr>
                <w:b/>
              </w:rPr>
              <w:t>(brutto)</w:t>
            </w:r>
          </w:p>
        </w:tc>
      </w:tr>
      <w:tr w:rsidR="00FD5507">
        <w:trPr>
          <w:trHeight w:val="80"/>
        </w:trPr>
        <w:tc>
          <w:tcPr>
            <w:tcW w:w="2409" w:type="dxa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Procent dofinansowania ze środków UE (brutto)</w:t>
            </w:r>
            <w:r>
              <w:rPr>
                <w:vertAlign w:val="superscript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FD5507" w:rsidRDefault="00715BA0">
            <w:r>
              <w:t>84,63 % - 5 799 198,35</w:t>
            </w:r>
            <w:r w:rsidR="00A0351F">
              <w:t xml:space="preserve"> zł</w:t>
            </w:r>
          </w:p>
          <w:p w:rsidR="00FD5507" w:rsidRDefault="00FD5507"/>
        </w:tc>
      </w:tr>
      <w:tr w:rsidR="00FD5507">
        <w:trPr>
          <w:trHeight w:val="80"/>
        </w:trPr>
        <w:tc>
          <w:tcPr>
            <w:tcW w:w="2409" w:type="dxa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Procent środków z budżetu państwa (brutto)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FD5507" w:rsidRDefault="00715BA0">
            <w:r>
              <w:t>15,37% - 1 053 216,10</w:t>
            </w:r>
            <w:r w:rsidR="00A0351F">
              <w:t xml:space="preserve"> zł</w:t>
            </w:r>
          </w:p>
          <w:p w:rsidR="00FD5507" w:rsidRDefault="00FD5507"/>
        </w:tc>
      </w:tr>
      <w:tr w:rsidR="00FD5507">
        <w:trPr>
          <w:trHeight w:val="80"/>
        </w:trPr>
        <w:tc>
          <w:tcPr>
            <w:tcW w:w="2409" w:type="dxa"/>
            <w:vMerge w:val="restart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Podział całkowitego kosztu projektu na poszczególna lata (netto oraz brutto)</w:t>
            </w:r>
          </w:p>
        </w:tc>
        <w:tc>
          <w:tcPr>
            <w:tcW w:w="993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2019 rok</w:t>
            </w:r>
          </w:p>
        </w:tc>
        <w:tc>
          <w:tcPr>
            <w:tcW w:w="6237" w:type="dxa"/>
            <w:shd w:val="clear" w:color="auto" w:fill="FFFFFF"/>
          </w:tcPr>
          <w:p w:rsidR="00FD5507" w:rsidRDefault="00715BA0" w:rsidP="00940CE6">
            <w:pPr>
              <w:rPr>
                <w:b/>
                <w:i/>
              </w:rPr>
            </w:pPr>
            <w:r>
              <w:t xml:space="preserve">1 723 378,62 </w:t>
            </w:r>
            <w:r w:rsidR="00A0351F">
              <w:t xml:space="preserve">zł </w:t>
            </w:r>
            <w:r>
              <w:t>(netto), 1 871 647,4</w:t>
            </w:r>
            <w:r w:rsidR="00940CE6">
              <w:t>9</w:t>
            </w:r>
            <w:r>
              <w:t xml:space="preserve"> </w:t>
            </w:r>
            <w:r w:rsidR="00A0351F">
              <w:t xml:space="preserve">zł </w:t>
            </w:r>
            <w:r>
              <w:t>(brutto)</w:t>
            </w:r>
          </w:p>
        </w:tc>
      </w:tr>
      <w:tr w:rsidR="00FD5507">
        <w:trPr>
          <w:trHeight w:val="80"/>
        </w:trPr>
        <w:tc>
          <w:tcPr>
            <w:tcW w:w="2409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993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2020 rok</w:t>
            </w:r>
          </w:p>
        </w:tc>
        <w:tc>
          <w:tcPr>
            <w:tcW w:w="6237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t xml:space="preserve">2 465 971,95 </w:t>
            </w:r>
            <w:r w:rsidR="00A0351F">
              <w:t xml:space="preserve">zł </w:t>
            </w:r>
            <w:r>
              <w:t>(netto), 2 628 074, 52</w:t>
            </w:r>
            <w:r w:rsidR="00A0351F">
              <w:t>zł</w:t>
            </w:r>
            <w:r>
              <w:t xml:space="preserve"> (brutto)</w:t>
            </w:r>
          </w:p>
        </w:tc>
      </w:tr>
      <w:tr w:rsidR="00FD5507">
        <w:trPr>
          <w:trHeight w:val="80"/>
        </w:trPr>
        <w:tc>
          <w:tcPr>
            <w:tcW w:w="2409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93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2021 rok</w:t>
            </w:r>
          </w:p>
        </w:tc>
        <w:tc>
          <w:tcPr>
            <w:tcW w:w="6237" w:type="dxa"/>
            <w:shd w:val="clear" w:color="auto" w:fill="FFFFFF"/>
          </w:tcPr>
          <w:p w:rsidR="00FD5507" w:rsidRDefault="00715BA0" w:rsidP="00CB21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t>1 802 876,38</w:t>
            </w:r>
            <w:r w:rsidR="00A0351F">
              <w:t xml:space="preserve"> zł</w:t>
            </w:r>
            <w:r>
              <w:t xml:space="preserve"> (netto), 1 8</w:t>
            </w:r>
            <w:r w:rsidR="00CB2136">
              <w:t>55</w:t>
            </w:r>
            <w:r>
              <w:t> </w:t>
            </w:r>
            <w:r w:rsidR="00CB2136">
              <w:t>5</w:t>
            </w:r>
            <w:r>
              <w:t xml:space="preserve">29, 55 </w:t>
            </w:r>
            <w:r w:rsidR="00A0351F">
              <w:t xml:space="preserve">zł </w:t>
            </w:r>
            <w:r>
              <w:t>(brutto)</w:t>
            </w:r>
          </w:p>
        </w:tc>
      </w:tr>
      <w:tr w:rsidR="00FD5507">
        <w:trPr>
          <w:trHeight w:val="80"/>
        </w:trPr>
        <w:tc>
          <w:tcPr>
            <w:tcW w:w="2409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993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2022 rok</w:t>
            </w:r>
          </w:p>
        </w:tc>
        <w:tc>
          <w:tcPr>
            <w:tcW w:w="6237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</w:rPr>
            </w:pPr>
            <w:r>
              <w:t xml:space="preserve">476 406,15 </w:t>
            </w:r>
            <w:r w:rsidR="00A0351F">
              <w:t xml:space="preserve">zł </w:t>
            </w:r>
            <w:r>
              <w:t xml:space="preserve">(netto), 497 162,89 </w:t>
            </w:r>
            <w:r w:rsidR="00A0351F">
              <w:t xml:space="preserve">zł </w:t>
            </w:r>
            <w:r>
              <w:t>(brutto)</w:t>
            </w: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  <w:bookmarkStart w:id="9" w:name="_4d34og8" w:colFirst="0" w:colLast="0"/>
      <w:bookmarkEnd w:id="9"/>
    </w:p>
    <w:p w:rsidR="00FD5507" w:rsidRDefault="00621E36">
      <w:pPr>
        <w:pStyle w:val="Nagwek2"/>
        <w:ind w:left="710" w:firstLine="0"/>
      </w:pPr>
      <w:r>
        <w:t>4</w:t>
      </w:r>
      <w:r w:rsidR="00715BA0">
        <w:t xml:space="preserve">.2 Wykaz poszczególnych pozycji kosztowych 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701"/>
        <w:gridCol w:w="2410"/>
        <w:gridCol w:w="2409"/>
      </w:tblGrid>
      <w:tr w:rsidR="00532687" w:rsidTr="00532687">
        <w:trPr>
          <w:trHeight w:val="720"/>
        </w:trPr>
        <w:tc>
          <w:tcPr>
            <w:tcW w:w="4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32687" w:rsidRDefault="00532687">
            <w:pPr>
              <w:jc w:val="center"/>
              <w:rPr>
                <w:b/>
              </w:rPr>
            </w:pPr>
            <w:bookmarkStart w:id="10" w:name="_2s8eyo1" w:colFirst="0" w:colLast="0"/>
            <w:bookmarkEnd w:id="10"/>
            <w:r>
              <w:rPr>
                <w:b/>
              </w:rPr>
              <w:t>Nazwa pozycji kosztowej:</w:t>
            </w:r>
          </w:p>
          <w:p w:rsidR="00532687" w:rsidRDefault="00532687">
            <w:pPr>
              <w:widowControl w:val="0"/>
              <w:jc w:val="center"/>
              <w:rPr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32687" w:rsidRDefault="00532687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Przewidywany koszt  brutto[zł]:</w:t>
            </w:r>
          </w:p>
          <w:p w:rsidR="00532687" w:rsidRDefault="00532687">
            <w:pPr>
              <w:widowControl w:val="0"/>
              <w:rPr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32687" w:rsidRDefault="00532687">
            <w:pPr>
              <w:widowControl w:val="0"/>
              <w:tabs>
                <w:tab w:val="left" w:pos="585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Uzasadnienie pozycji kosztowej (przeznaczenie):</w:t>
            </w:r>
          </w:p>
          <w:p w:rsidR="00532687" w:rsidRDefault="00532687">
            <w:pPr>
              <w:widowControl w:val="0"/>
              <w:rPr>
                <w:color w:val="000000"/>
              </w:rPr>
            </w:pPr>
          </w:p>
        </w:tc>
      </w:tr>
      <w:tr w:rsidR="00532687" w:rsidTr="00532687">
        <w:trPr>
          <w:trHeight w:val="38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687" w:rsidRDefault="00532687">
            <w:pPr>
              <w:rPr>
                <w:highlight w:val="yellow"/>
              </w:rPr>
            </w:pPr>
            <w:r>
              <w:t>Oprogramowanie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687" w:rsidRDefault="0053268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Adobe Creative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rFonts w:ascii="Calibri" w:eastAsia="Calibri" w:hAnsi="Calibri" w:cs="Calibri"/>
                    <w:sz w:val="18"/>
                    <w:szCs w:val="18"/>
                    <w:lang w:val="en-US"/>
                  </w:rPr>
                  <w:t>Suite</w:t>
                </w:r>
              </w:smartTag>
              <w:r>
                <w:rPr>
                  <w:rFonts w:ascii="Calibri" w:eastAsia="Calibri" w:hAnsi="Calibri" w:cs="Calibri"/>
                  <w:sz w:val="18"/>
                  <w:szCs w:val="18"/>
                  <w:lang w:val="en-US"/>
                </w:rPr>
                <w:t xml:space="preserve"> (3)</w:t>
              </w:r>
            </w:smartTag>
            <w:r>
              <w:rPr>
                <w:rFonts w:ascii="Calibri" w:eastAsia="Calibri" w:hAnsi="Calibri" w:cs="Calibri"/>
                <w:sz w:val="18"/>
                <w:szCs w:val="18"/>
                <w:lang w:val="en-US"/>
              </w:rPr>
              <w:t>,</w:t>
            </w:r>
          </w:p>
          <w:p w:rsidR="00532687" w:rsidRDefault="0053268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Adobe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Calibri" w:eastAsia="Calibri" w:hAnsi="Calibri" w:cs="Calibri"/>
                    <w:sz w:val="18"/>
                    <w:szCs w:val="18"/>
                    <w:lang w:val="en-US"/>
                  </w:rPr>
                  <w:t>Acrobat</w:t>
                </w:r>
              </w:smartTag>
              <w:r>
                <w:rPr>
                  <w:rFonts w:ascii="Calibri" w:eastAsia="Calibri" w:hAnsi="Calibri" w:cs="Calibri"/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State">
                <w:r>
                  <w:rPr>
                    <w:rFonts w:ascii="Calibri" w:eastAsia="Calibri" w:hAnsi="Calibri" w:cs="Calibri"/>
                    <w:sz w:val="18"/>
                    <w:szCs w:val="18"/>
                    <w:lang w:val="en-US"/>
                  </w:rPr>
                  <w:t>DC</w:t>
                </w:r>
              </w:smartTag>
            </w:smartTag>
            <w:r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(13),</w:t>
            </w:r>
          </w:p>
          <w:p w:rsidR="00532687" w:rsidRDefault="0053268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Corel Draw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rFonts w:ascii="Calibri" w:eastAsia="Calibri" w:hAnsi="Calibri" w:cs="Calibri"/>
                    <w:sz w:val="18"/>
                    <w:szCs w:val="18"/>
                    <w:lang w:val="en-US"/>
                  </w:rPr>
                  <w:t>Suite</w:t>
                </w:r>
              </w:smartTag>
              <w:r>
                <w:rPr>
                  <w:rFonts w:ascii="Calibri" w:eastAsia="Calibri" w:hAnsi="Calibri" w:cs="Calibri"/>
                  <w:sz w:val="18"/>
                  <w:szCs w:val="18"/>
                  <w:lang w:val="en-US"/>
                </w:rPr>
                <w:t xml:space="preserve"> (7)</w:t>
              </w:r>
            </w:smartTag>
          </w:p>
          <w:p w:rsidR="00532687" w:rsidRDefault="0053268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en-US"/>
              </w:rPr>
              <w:t>MS Office (16),</w:t>
            </w:r>
          </w:p>
          <w:p w:rsidR="00532687" w:rsidRDefault="00532687">
            <w:pPr>
              <w:widowControl w:val="0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en-US"/>
              </w:rPr>
              <w:t>Adobe Photoshop (4),</w:t>
            </w:r>
          </w:p>
          <w:p w:rsidR="00532687" w:rsidRDefault="00532687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Suma:</w:t>
            </w:r>
          </w:p>
          <w:p w:rsidR="00532687" w:rsidRDefault="00532687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16 236,00</w:t>
            </w:r>
          </w:p>
          <w:p w:rsidR="00532687" w:rsidRDefault="00532687">
            <w:pPr>
              <w:widowControl w:val="0"/>
              <w:rPr>
                <w:sz w:val="18"/>
                <w:szCs w:val="18"/>
              </w:rPr>
            </w:pPr>
          </w:p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31 980,00</w:t>
            </w:r>
          </w:p>
          <w:p w:rsidR="00532687" w:rsidRDefault="00532687">
            <w:pPr>
              <w:widowControl w:val="0"/>
              <w:rPr>
                <w:sz w:val="18"/>
                <w:szCs w:val="18"/>
              </w:rPr>
            </w:pPr>
          </w:p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16 728,00</w:t>
            </w:r>
          </w:p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39 360,00</w:t>
            </w:r>
          </w:p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19 065,00</w:t>
            </w:r>
          </w:p>
          <w:p w:rsidR="00532687" w:rsidRDefault="00532687">
            <w:pPr>
              <w:widowControl w:val="0"/>
              <w:rPr>
                <w:sz w:val="18"/>
                <w:szCs w:val="18"/>
              </w:rPr>
            </w:pPr>
          </w:p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123 369,00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pakietów graficznych i OCR do obsługi dokumentów cyfrowych i przygotowania do cyfrowego udostępniania. MS Office jako pakiet do tworzenia i edycji dokumentów. </w:t>
            </w:r>
          </w:p>
        </w:tc>
      </w:tr>
      <w:tr w:rsidR="00532687" w:rsidTr="00532687">
        <w:trPr>
          <w:trHeight w:val="42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687" w:rsidRDefault="00532687">
            <w:pPr>
              <w:rPr>
                <w:highlight w:val="yellow"/>
              </w:rPr>
            </w:pPr>
            <w:r>
              <w:t>Infrastruktura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687" w:rsidRDefault="00532687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Wynajem Serwera 4x3,2GHz CPU, 8GB RAM, 200GB HDD, (5 szt., 30 msc)</w:t>
            </w:r>
          </w:p>
          <w:p w:rsidR="00532687" w:rsidRDefault="00532687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Wynajem Serwera 8x2,4GHz CPU, 16GB RAM, 320GB SATA, (1 szt., 30 msc)</w:t>
            </w:r>
          </w:p>
          <w:p w:rsidR="00515653" w:rsidRDefault="00532687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Wynajem macierzy i backupu (15GB), + wydzielona część opłaty za dostęp szerokopasmowy (30 msc)</w:t>
            </w:r>
            <w:r w:rsidR="00515653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</w:p>
          <w:p w:rsidR="00515653" w:rsidRDefault="00515653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sprzęt do digitalizacji, </w:t>
            </w:r>
          </w:p>
          <w:p w:rsidR="00532687" w:rsidRDefault="00515653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roboty budowlane </w:t>
            </w:r>
          </w:p>
          <w:p w:rsidR="00515653" w:rsidRDefault="00515653">
            <w:pPr>
              <w:widowControl w:val="0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Suma: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158 670,00</w:t>
            </w: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410 500,20</w:t>
            </w: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619 059,00</w:t>
            </w: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</w:p>
          <w:p w:rsidR="00515653" w:rsidRDefault="0051565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1 188 229,20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Wynajem serwerów na potrzeby projektu z możliwością rezygnacji z usługi po okresie zdeponowania repozytorium na centralnej platformie Ministerstwa lub wskazanej do tego celu. Przygotowanie wydajnego łącza do obsługi ruchu związanego z uploadem d</w:t>
            </w:r>
            <w:r w:rsidR="00515653">
              <w:rPr>
                <w:sz w:val="18"/>
                <w:szCs w:val="18"/>
              </w:rPr>
              <w:t xml:space="preserve">anych do repozytorium, </w:t>
            </w:r>
            <w:r w:rsidR="00515653" w:rsidRPr="00532687">
              <w:rPr>
                <w:sz w:val="18"/>
                <w:szCs w:val="18"/>
              </w:rPr>
              <w:t>skanery, urządzenia wielofunkcyjne</w:t>
            </w:r>
            <w:r w:rsidR="00515653">
              <w:rPr>
                <w:sz w:val="18"/>
                <w:szCs w:val="18"/>
              </w:rPr>
              <w:t xml:space="preserve">, </w:t>
            </w:r>
            <w:r w:rsidR="00515653" w:rsidRPr="00532687">
              <w:rPr>
                <w:sz w:val="18"/>
                <w:szCs w:val="18"/>
              </w:rPr>
              <w:t>przystosowanie pomieszczeń do digitalizacji</w:t>
            </w:r>
            <w:r w:rsidR="00515653">
              <w:rPr>
                <w:sz w:val="18"/>
                <w:szCs w:val="18"/>
              </w:rPr>
              <w:t>.</w:t>
            </w:r>
          </w:p>
        </w:tc>
      </w:tr>
      <w:tr w:rsidR="00532687" w:rsidTr="00532687">
        <w:trPr>
          <w:trHeight w:val="38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687" w:rsidRDefault="00532687">
            <w:pPr>
              <w:widowControl w:val="0"/>
              <w:rPr>
                <w:highlight w:val="yellow"/>
              </w:rPr>
            </w:pPr>
            <w:r>
              <w:lastRenderedPageBreak/>
              <w:t>Koszty UX i grafiki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Wytworzone w ramach wynagrodzenia pracowników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Szablony UX wraz z wizualizacją i funkcjonalnością serwisów opracowane zostanie przez pracowników instytutów.</w:t>
            </w:r>
          </w:p>
        </w:tc>
      </w:tr>
      <w:tr w:rsidR="00532687" w:rsidTr="00532687">
        <w:trPr>
          <w:gridAfter w:val="1"/>
          <w:wAfter w:w="2409" w:type="dxa"/>
          <w:trHeight w:val="4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687" w:rsidRDefault="00532687">
            <w:r>
              <w:t>Bezpieczeństwo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color w:val="0070C0"/>
                <w:sz w:val="18"/>
                <w:szCs w:val="18"/>
              </w:rPr>
            </w:pPr>
            <w:r>
              <w:rPr>
                <w:sz w:val="18"/>
                <w:szCs w:val="18"/>
              </w:rPr>
              <w:t>Zapewnione w ramach wykorzystywanej infrastruktury (wynajmowane bezpieczne serwery) i oprogramowania (z wbudowanymi modułami ograniczającymi dostęp)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color w:val="0070C0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32687" w:rsidTr="00532687">
        <w:trPr>
          <w:gridAfter w:val="1"/>
          <w:wAfter w:w="2409" w:type="dxa"/>
          <w:trHeight w:val="42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687" w:rsidRDefault="00532687">
            <w:r>
              <w:t>Wydajność rozwiązań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Zapewniona w ramach wykorzystywanej infrastruktury i oprogramowania – będą dostosowane do jak najszybszej obsługi zapytań użytkowników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32687" w:rsidTr="00532687">
        <w:trPr>
          <w:trHeight w:val="4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687" w:rsidRDefault="00532687">
            <w:r>
              <w:t>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687" w:rsidRDefault="00532687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Administracja serwerami,</w:t>
            </w:r>
          </w:p>
          <w:p w:rsidR="00532687" w:rsidRDefault="00532687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dSpace, </w:t>
            </w:r>
          </w:p>
          <w:p w:rsidR="00532687" w:rsidRDefault="00532687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Archiwizacja,</w:t>
            </w:r>
          </w:p>
          <w:p w:rsidR="00532687" w:rsidRDefault="00532687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Adobe,</w:t>
            </w:r>
          </w:p>
          <w:p w:rsidR="00532687" w:rsidRDefault="00532687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dB,</w:t>
            </w:r>
          </w:p>
          <w:p w:rsidR="00532687" w:rsidRDefault="00532687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własność intelektualna,</w:t>
            </w:r>
          </w:p>
          <w:p w:rsidR="00532687" w:rsidRDefault="00532687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API i zarządzanie projektami</w:t>
            </w:r>
          </w:p>
          <w:p w:rsidR="00532687" w:rsidRDefault="00532687">
            <w:pPr>
              <w:widowControl w:val="0"/>
              <w:rPr>
                <w:rFonts w:eastAsia="Calibri"/>
                <w:sz w:val="18"/>
                <w:szCs w:val="18"/>
              </w:rPr>
            </w:pPr>
          </w:p>
          <w:p w:rsidR="00532687" w:rsidRDefault="00532687">
            <w:pPr>
              <w:widowContro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211 061,85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pełnej realizacji przewidziano projektu 17 szkoleń w sumie dla 127 uczestników.</w:t>
            </w:r>
          </w:p>
        </w:tc>
      </w:tr>
      <w:tr w:rsidR="00532687" w:rsidTr="00532687">
        <w:trPr>
          <w:trHeight w:val="4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687" w:rsidRDefault="00532687">
            <w:r>
              <w:t>Działania informacyjno-promocyjne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687" w:rsidRDefault="00532687">
            <w:pPr>
              <w:widowControl w:val="0"/>
              <w:rPr>
                <w:rFonts w:eastAsia="Calibri"/>
                <w:sz w:val="18"/>
                <w:szCs w:val="18"/>
                <w:highlight w:val="yellow"/>
              </w:rPr>
            </w:pPr>
            <w:r>
              <w:rPr>
                <w:rFonts w:eastAsia="Calibri"/>
                <w:sz w:val="18"/>
                <w:szCs w:val="18"/>
              </w:rPr>
              <w:t>materiały graficzne (opracowanie i zakup), opracowanie i druk informatorów,  gadżety reklamowe, wystawy/targi, banery i tablice informacyjne, flagi, reklamy zewnętrzne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236 160,00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Promocja projektu przy udziale mediów tradycyjnych oraz social media. Targi i imprezy promocyjne.</w:t>
            </w:r>
          </w:p>
        </w:tc>
      </w:tr>
      <w:tr w:rsidR="00532687" w:rsidTr="00532687">
        <w:trPr>
          <w:trHeight w:val="72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687" w:rsidRDefault="00532687">
            <w:r>
              <w:t>Koszty zarządzania i wsparcia (w tym wynagrodzenia personelu wspomagającego)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687" w:rsidRDefault="00532687">
            <w:pPr>
              <w:widowControl w:val="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Komunikacja projektowa i raportowanie,</w:t>
            </w:r>
          </w:p>
          <w:p w:rsidR="00532687" w:rsidRDefault="00532687">
            <w:pPr>
              <w:widowControl w:val="0"/>
              <w:rPr>
                <w:rFonts w:ascii="Calibri" w:eastAsia="Calibri" w:hAnsi="Calibri" w:cs="Calibri"/>
                <w:sz w:val="18"/>
                <w:szCs w:val="18"/>
                <w:highlight w:val="yellow"/>
              </w:rPr>
            </w:pPr>
            <w:r>
              <w:rPr>
                <w:rFonts w:eastAsia="Calibri"/>
                <w:sz w:val="18"/>
                <w:szCs w:val="18"/>
              </w:rPr>
              <w:t xml:space="preserve">Nadzór nad przebiegiem procesu </w:t>
            </w:r>
            <w:r>
              <w:rPr>
                <w:rFonts w:eastAsia="Calibri"/>
                <w:sz w:val="18"/>
                <w:szCs w:val="18"/>
              </w:rPr>
              <w:lastRenderedPageBreak/>
              <w:t>przygotowania materiałów, digitalizacji i wprowadzania danych, SIWZ i procedury przetargowe,</w:t>
            </w:r>
            <w:r>
              <w:t xml:space="preserve"> </w:t>
            </w:r>
            <w:r w:rsidR="00515653">
              <w:rPr>
                <w:rFonts w:eastAsia="Calibri"/>
                <w:sz w:val="18"/>
                <w:szCs w:val="18"/>
              </w:rPr>
              <w:t>b</w:t>
            </w:r>
            <w:r>
              <w:rPr>
                <w:rFonts w:eastAsia="Calibri"/>
                <w:sz w:val="18"/>
                <w:szCs w:val="18"/>
              </w:rPr>
              <w:t>ieżąca obsługa finansowa, serwis prawny</w:t>
            </w:r>
            <w:r w:rsidR="00515653">
              <w:rPr>
                <w:rFonts w:eastAsia="Calibri"/>
                <w:sz w:val="18"/>
                <w:szCs w:val="18"/>
              </w:rPr>
              <w:t xml:space="preserve">, </w:t>
            </w:r>
            <w:r w:rsidR="00515653" w:rsidRPr="00532687">
              <w:rPr>
                <w:sz w:val="18"/>
                <w:szCs w:val="18"/>
              </w:rPr>
              <w:t>koszty pracy przy digitalizacji, przygotowaniu węzłów, wdrożeniu repozytorium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1565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5 093 594,40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2687" w:rsidRDefault="0053268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Koszty obejmują kwotę dedykowaną na zadanie 1</w:t>
            </w:r>
            <w:r w:rsidR="00515653">
              <w:rPr>
                <w:sz w:val="18"/>
                <w:szCs w:val="18"/>
              </w:rPr>
              <w:t xml:space="preserve"> oraz koszty wynagrodzeń</w:t>
            </w:r>
          </w:p>
        </w:tc>
      </w:tr>
    </w:tbl>
    <w:p w:rsidR="00830030" w:rsidRDefault="00830030">
      <w:pPr>
        <w:rPr>
          <w:color w:val="000000"/>
        </w:rPr>
      </w:pPr>
      <w:bookmarkStart w:id="11" w:name="_17dp8vu"/>
      <w:bookmarkEnd w:id="11"/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FD5507" w:rsidRDefault="00715BA0" w:rsidP="00940CE6">
      <w:pPr>
        <w:pStyle w:val="Nagwek2"/>
        <w:numPr>
          <w:ilvl w:val="1"/>
          <w:numId w:val="4"/>
        </w:numPr>
        <w:jc w:val="both"/>
      </w:pPr>
      <w:r>
        <w:t>Koszty ogólne utrzymania wraz ze sposobem finansowania (okres 5 lat)</w:t>
      </w:r>
    </w:p>
    <w:tbl>
      <w:tblPr>
        <w:tblStyle w:val="a8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850"/>
        <w:gridCol w:w="4111"/>
        <w:gridCol w:w="2410"/>
      </w:tblGrid>
      <w:tr w:rsidR="00FD5507">
        <w:trPr>
          <w:trHeight w:val="380"/>
        </w:trPr>
        <w:tc>
          <w:tcPr>
            <w:tcW w:w="2268" w:type="dxa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Całkowity koszt utrzymania trwałości projektu (brutto)</w:t>
            </w:r>
          </w:p>
        </w:tc>
        <w:tc>
          <w:tcPr>
            <w:tcW w:w="4961" w:type="dxa"/>
            <w:gridSpan w:val="2"/>
            <w:shd w:val="clear" w:color="auto" w:fill="FFFFFF"/>
          </w:tcPr>
          <w:p w:rsidR="008B1D54" w:rsidRPr="008B1D54" w:rsidRDefault="008B1D54" w:rsidP="008B1D54">
            <w:r w:rsidRPr="008B1D54">
              <w:rPr>
                <w:color w:val="000000"/>
              </w:rPr>
              <w:t>1 709 200,00</w:t>
            </w:r>
            <w:r w:rsidR="002D6075">
              <w:rPr>
                <w:color w:val="000000"/>
              </w:rPr>
              <w:t xml:space="preserve"> zł</w:t>
            </w:r>
          </w:p>
          <w:p w:rsidR="008B1D54" w:rsidRPr="008B1D54" w:rsidRDefault="008B1D54" w:rsidP="008B1D54">
            <w:r w:rsidRPr="008B1D54">
              <w:rPr>
                <w:color w:val="000000"/>
              </w:rPr>
              <w:t>1 741 676,00</w:t>
            </w:r>
            <w:r w:rsidR="002D6075">
              <w:rPr>
                <w:color w:val="000000"/>
              </w:rPr>
              <w:t xml:space="preserve"> zł</w:t>
            </w:r>
          </w:p>
          <w:p w:rsidR="00FD5507" w:rsidRDefault="00FD5507"/>
        </w:tc>
        <w:tc>
          <w:tcPr>
            <w:tcW w:w="2410" w:type="dxa"/>
            <w:shd w:val="clear" w:color="auto" w:fill="D9D9D9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Źródło finansowania</w:t>
            </w:r>
          </w:p>
          <w:p w:rsidR="00FD5507" w:rsidRDefault="00FD5507">
            <w:pPr>
              <w:jc w:val="center"/>
              <w:rPr>
                <w:b/>
                <w:color w:val="0070C0"/>
              </w:rPr>
            </w:pPr>
          </w:p>
        </w:tc>
      </w:tr>
      <w:tr w:rsidR="00FD5507">
        <w:trPr>
          <w:trHeight w:val="400"/>
        </w:trPr>
        <w:tc>
          <w:tcPr>
            <w:tcW w:w="2268" w:type="dxa"/>
            <w:vMerge w:val="restart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Podział całkowitego kosztu utrzymania trwałości projektu na poszczególna lata (netto oraz brutto)</w:t>
            </w:r>
          </w:p>
        </w:tc>
        <w:tc>
          <w:tcPr>
            <w:tcW w:w="85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</w:rPr>
              <w:t xml:space="preserve">2022 </w:t>
            </w:r>
            <w:r>
              <w:rPr>
                <w:b/>
                <w:color w:val="000000"/>
              </w:rPr>
              <w:t>rok</w:t>
            </w:r>
          </w:p>
        </w:tc>
        <w:tc>
          <w:tcPr>
            <w:tcW w:w="4111" w:type="dxa"/>
            <w:shd w:val="clear" w:color="auto" w:fill="FFFFFF"/>
          </w:tcPr>
          <w:p w:rsidR="008B1D54" w:rsidRPr="008B1D54" w:rsidRDefault="008B1D54" w:rsidP="008B1D54">
            <w:r w:rsidRPr="008B1D54">
              <w:rPr>
                <w:color w:val="000000"/>
              </w:rPr>
              <w:t xml:space="preserve">341 840,00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netto</w:t>
            </w:r>
          </w:p>
          <w:p w:rsidR="00FD5507" w:rsidRDefault="008B1D54">
            <w:r w:rsidRPr="008B1D54">
              <w:rPr>
                <w:color w:val="000000"/>
              </w:rPr>
              <w:t xml:space="preserve">348 335,20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brutto</w:t>
            </w:r>
          </w:p>
        </w:tc>
        <w:tc>
          <w:tcPr>
            <w:tcW w:w="2410" w:type="dxa"/>
            <w:shd w:val="clear" w:color="auto" w:fill="FFFFFF"/>
          </w:tcPr>
          <w:p w:rsidR="00FD5507" w:rsidRDefault="00715BA0">
            <w:r>
              <w:t>środki własne</w:t>
            </w:r>
          </w:p>
        </w:tc>
      </w:tr>
      <w:tr w:rsidR="00FD5507">
        <w:trPr>
          <w:trHeight w:val="400"/>
        </w:trPr>
        <w:tc>
          <w:tcPr>
            <w:tcW w:w="2268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</w:rPr>
              <w:t>2023</w:t>
            </w:r>
            <w:r>
              <w:rPr>
                <w:b/>
                <w:color w:val="00000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:rsidR="008B1D54" w:rsidRPr="008B1D54" w:rsidRDefault="008B1D54" w:rsidP="008B1D54">
            <w:r w:rsidRPr="008B1D54">
              <w:rPr>
                <w:color w:val="000000"/>
              </w:rPr>
              <w:t xml:space="preserve">341 840,00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netto</w:t>
            </w:r>
          </w:p>
          <w:p w:rsidR="00FD5507" w:rsidRDefault="008B1D54" w:rsidP="008B1D54">
            <w:r w:rsidRPr="008B1D54">
              <w:rPr>
                <w:color w:val="000000"/>
              </w:rPr>
              <w:t xml:space="preserve">348 335,20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brutto</w:t>
            </w:r>
          </w:p>
        </w:tc>
        <w:tc>
          <w:tcPr>
            <w:tcW w:w="241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jw.</w:t>
            </w:r>
          </w:p>
        </w:tc>
      </w:tr>
      <w:tr w:rsidR="00FD5507">
        <w:trPr>
          <w:trHeight w:val="400"/>
        </w:trPr>
        <w:tc>
          <w:tcPr>
            <w:tcW w:w="2268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</w:rPr>
              <w:t xml:space="preserve">2024 </w:t>
            </w:r>
            <w:r>
              <w:rPr>
                <w:b/>
                <w:color w:val="000000"/>
              </w:rPr>
              <w:t>rok</w:t>
            </w:r>
          </w:p>
        </w:tc>
        <w:tc>
          <w:tcPr>
            <w:tcW w:w="4111" w:type="dxa"/>
            <w:shd w:val="clear" w:color="auto" w:fill="FFFFFF"/>
          </w:tcPr>
          <w:p w:rsidR="008B1D54" w:rsidRPr="008B1D54" w:rsidRDefault="008B1D54" w:rsidP="008B1D54">
            <w:r w:rsidRPr="008B1D54">
              <w:rPr>
                <w:color w:val="000000"/>
              </w:rPr>
              <w:t xml:space="preserve">341 840,00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netto</w:t>
            </w:r>
          </w:p>
          <w:p w:rsidR="00FD5507" w:rsidRDefault="008B1D54" w:rsidP="008B1D54">
            <w:r w:rsidRPr="008B1D54">
              <w:rPr>
                <w:color w:val="000000"/>
              </w:rPr>
              <w:t xml:space="preserve">348 335,20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brutto</w:t>
            </w:r>
          </w:p>
        </w:tc>
        <w:tc>
          <w:tcPr>
            <w:tcW w:w="241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jw.</w:t>
            </w:r>
          </w:p>
        </w:tc>
      </w:tr>
      <w:tr w:rsidR="00FD5507">
        <w:trPr>
          <w:trHeight w:val="400"/>
        </w:trPr>
        <w:tc>
          <w:tcPr>
            <w:tcW w:w="2268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</w:rPr>
              <w:t>2025</w:t>
            </w:r>
            <w:r>
              <w:rPr>
                <w:b/>
                <w:color w:val="00000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:rsidR="008B1D54" w:rsidRPr="008B1D54" w:rsidRDefault="008B1D54" w:rsidP="008B1D54">
            <w:r w:rsidRPr="008B1D54">
              <w:rPr>
                <w:color w:val="000000"/>
              </w:rPr>
              <w:t xml:space="preserve">341 840,00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netto</w:t>
            </w:r>
          </w:p>
          <w:p w:rsidR="00FD5507" w:rsidRDefault="008B1D54">
            <w:r w:rsidRPr="008B1D54">
              <w:rPr>
                <w:color w:val="000000"/>
              </w:rPr>
              <w:t xml:space="preserve">348 335,20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brutto</w:t>
            </w:r>
          </w:p>
        </w:tc>
        <w:tc>
          <w:tcPr>
            <w:tcW w:w="241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jw.</w:t>
            </w:r>
          </w:p>
        </w:tc>
      </w:tr>
      <w:tr w:rsidR="00FD5507">
        <w:trPr>
          <w:trHeight w:val="400"/>
        </w:trPr>
        <w:tc>
          <w:tcPr>
            <w:tcW w:w="2268" w:type="dxa"/>
            <w:vMerge/>
            <w:shd w:val="clear" w:color="auto" w:fill="E7E6E6"/>
          </w:tcPr>
          <w:p w:rsidR="00FD5507" w:rsidRDefault="00FD55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5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2026</w:t>
            </w:r>
          </w:p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rok</w:t>
            </w:r>
          </w:p>
        </w:tc>
        <w:tc>
          <w:tcPr>
            <w:tcW w:w="4111" w:type="dxa"/>
            <w:shd w:val="clear" w:color="auto" w:fill="FFFFFF"/>
          </w:tcPr>
          <w:p w:rsidR="008B1D54" w:rsidRPr="008B1D54" w:rsidRDefault="008B1D54" w:rsidP="008B1D54">
            <w:r w:rsidRPr="008B1D54">
              <w:rPr>
                <w:color w:val="000000"/>
              </w:rPr>
              <w:t xml:space="preserve">341 840,00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netto</w:t>
            </w:r>
          </w:p>
          <w:p w:rsidR="00FD5507" w:rsidRDefault="008B1D54" w:rsidP="008B1D54">
            <w:r w:rsidRPr="008B1D54">
              <w:rPr>
                <w:color w:val="000000"/>
              </w:rPr>
              <w:t xml:space="preserve">348 335,20 </w:t>
            </w:r>
            <w:r w:rsidR="00A0351F">
              <w:rPr>
                <w:color w:val="000000"/>
              </w:rPr>
              <w:t xml:space="preserve">zł </w:t>
            </w:r>
            <w:r w:rsidRPr="008B1D54">
              <w:rPr>
                <w:color w:val="000000"/>
              </w:rPr>
              <w:t>brutto</w:t>
            </w:r>
          </w:p>
        </w:tc>
        <w:tc>
          <w:tcPr>
            <w:tcW w:w="2410" w:type="dxa"/>
            <w:shd w:val="clear" w:color="auto" w:fill="FFFFFF"/>
          </w:tcPr>
          <w:p w:rsidR="00FD5507" w:rsidRDefault="00715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jw.</w:t>
            </w:r>
          </w:p>
        </w:tc>
      </w:tr>
    </w:tbl>
    <w:p w:rsidR="00FD5507" w:rsidRDefault="00FD5507">
      <w:pPr>
        <w:pStyle w:val="Nagwek1"/>
        <w:spacing w:before="0" w:after="0"/>
        <w:ind w:left="0"/>
        <w:rPr>
          <w:smallCaps w:val="0"/>
          <w:sz w:val="20"/>
          <w:szCs w:val="20"/>
        </w:rPr>
      </w:pPr>
      <w:bookmarkStart w:id="12" w:name="_3rdcrjn" w:colFirst="0" w:colLast="0"/>
      <w:bookmarkEnd w:id="12"/>
    </w:p>
    <w:p w:rsidR="00FD5507" w:rsidRDefault="00621E36">
      <w:pPr>
        <w:pStyle w:val="Nagwek1"/>
        <w:spacing w:before="0"/>
        <w:ind w:left="420" w:firstLine="0"/>
        <w:rPr>
          <w:b w:val="0"/>
          <w:smallCaps w:val="0"/>
        </w:rPr>
      </w:pPr>
      <w:r>
        <w:rPr>
          <w:smallCaps w:val="0"/>
        </w:rPr>
        <w:t>4</w:t>
      </w:r>
      <w:r w:rsidR="00715BA0">
        <w:rPr>
          <w:smallCaps w:val="0"/>
        </w:rPr>
        <w:t>.4</w:t>
      </w:r>
      <w:r w:rsidR="00715BA0">
        <w:rPr>
          <w:b w:val="0"/>
          <w:smallCaps w:val="0"/>
        </w:rPr>
        <w:t xml:space="preserve"> </w:t>
      </w:r>
      <w:r w:rsidR="00715BA0">
        <w:rPr>
          <w:smallCaps w:val="0"/>
        </w:rPr>
        <w:t>Planowane koszty ogólne realizacji</w:t>
      </w:r>
      <w:r w:rsidR="00715BA0">
        <w:rPr>
          <w:b w:val="0"/>
          <w:smallCaps w:val="0"/>
        </w:rPr>
        <w:t xml:space="preserve"> </w:t>
      </w:r>
      <w:r w:rsidR="00715BA0">
        <w:rPr>
          <w:smallCaps w:val="0"/>
        </w:rPr>
        <w:t>(w przypadku projektu współfinansowanego – wkład krajowy z budżetu państwa) oraz koszty utrzymania projektu:</w:t>
      </w:r>
    </w:p>
    <w:p w:rsidR="00FD5507" w:rsidRDefault="00715BA0">
      <w:pPr>
        <w:pStyle w:val="Nagwek1"/>
        <w:numPr>
          <w:ilvl w:val="0"/>
          <w:numId w:val="8"/>
        </w:numPr>
        <w:spacing w:before="0"/>
        <w:rPr>
          <w:b w:val="0"/>
          <w:smallCaps w:val="0"/>
        </w:rPr>
      </w:pPr>
      <w:r>
        <w:rPr>
          <w:b w:val="0"/>
          <w:smallCaps w:val="0"/>
        </w:rPr>
        <w:t xml:space="preserve">zostaną pokryte w ramach budżetów odpowiednich dysponentów części budżetowych bez konieczności występowania o dodatkowe środki z budżetu państwa, </w:t>
      </w:r>
    </w:p>
    <w:p w:rsidR="00FD5507" w:rsidRDefault="00715BA0">
      <w:pPr>
        <w:pStyle w:val="Nagwek1"/>
        <w:numPr>
          <w:ilvl w:val="0"/>
          <w:numId w:val="8"/>
        </w:numPr>
        <w:spacing w:before="0" w:after="0"/>
        <w:rPr>
          <w:b w:val="0"/>
          <w:smallCaps w:val="0"/>
        </w:rPr>
      </w:pPr>
      <w:r>
        <w:rPr>
          <w:b w:val="0"/>
          <w:smallCaps w:val="0"/>
          <w:strike/>
        </w:rPr>
        <w:t>będą powodować konieczność przyznania dodatkowych kwot</w:t>
      </w:r>
      <w:r>
        <w:rPr>
          <w:b w:val="0"/>
          <w:smallCaps w:val="0"/>
        </w:rPr>
        <w:t>.</w:t>
      </w:r>
      <w:r>
        <w:rPr>
          <w:b w:val="0"/>
          <w:smallCaps w:val="0"/>
          <w:vertAlign w:val="superscript"/>
        </w:rPr>
        <w:footnoteReference w:id="3"/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tabs>
          <w:tab w:val="left" w:pos="2130"/>
        </w:tabs>
        <w:spacing w:after="120"/>
        <w:ind w:left="360" w:hanging="360"/>
        <w:rPr>
          <w:color w:val="000000"/>
          <w:sz w:val="20"/>
          <w:szCs w:val="20"/>
        </w:rPr>
      </w:pPr>
    </w:p>
    <w:p w:rsidR="00FD5507" w:rsidRDefault="00715BA0" w:rsidP="00940CE6">
      <w:pPr>
        <w:pStyle w:val="Nagwek1"/>
        <w:numPr>
          <w:ilvl w:val="0"/>
          <w:numId w:val="4"/>
        </w:numPr>
      </w:pPr>
      <w:r>
        <w:t>GŁÓWNE RYZYKA</w:t>
      </w:r>
      <w:r>
        <w:rPr>
          <w:smallCaps w:val="0"/>
        </w:rPr>
        <w:t xml:space="preserve"> </w:t>
      </w:r>
      <w:r>
        <w:rPr>
          <w:b w:val="0"/>
          <w:smallCaps w:val="0"/>
          <w:color w:val="7F7F7F"/>
          <w:sz w:val="20"/>
          <w:szCs w:val="20"/>
        </w:rPr>
        <w:t>&lt;&lt;maksymalnie 2000 znaków&gt;&gt;</w:t>
      </w:r>
    </w:p>
    <w:p w:rsidR="00FD5507" w:rsidRDefault="00715BA0" w:rsidP="00621E36">
      <w:pPr>
        <w:pStyle w:val="Nagwek2"/>
        <w:numPr>
          <w:ilvl w:val="2"/>
          <w:numId w:val="17"/>
        </w:numPr>
        <w:ind w:left="1134" w:hanging="850"/>
      </w:pPr>
      <w:bookmarkStart w:id="13" w:name="_26in1rg" w:colFirst="0" w:colLast="0"/>
      <w:bookmarkEnd w:id="13"/>
      <w:r>
        <w:t>Ryzyka wpływające na realizację projektu</w:t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tbl>
      <w:tblPr>
        <w:tblStyle w:val="a9"/>
        <w:tblW w:w="10578" w:type="dxa"/>
        <w:jc w:val="center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508"/>
        <w:gridCol w:w="2145"/>
        <w:gridCol w:w="4515"/>
      </w:tblGrid>
      <w:tr w:rsidR="00FD5507" w:rsidTr="00621E36">
        <w:trPr>
          <w:trHeight w:val="720"/>
          <w:jc w:val="center"/>
        </w:trPr>
        <w:tc>
          <w:tcPr>
            <w:tcW w:w="2410" w:type="dxa"/>
            <w:shd w:val="clear" w:color="auto" w:fill="D9D9D9"/>
          </w:tcPr>
          <w:p w:rsidR="00FD5507" w:rsidRDefault="00715BA0">
            <w:pPr>
              <w:jc w:val="center"/>
            </w:pPr>
            <w:r>
              <w:lastRenderedPageBreak/>
              <w:t>Nazwa ryzyka</w:t>
            </w:r>
          </w:p>
        </w:tc>
        <w:tc>
          <w:tcPr>
            <w:tcW w:w="1508" w:type="dxa"/>
            <w:shd w:val="clear" w:color="auto" w:fill="D9D9D9"/>
          </w:tcPr>
          <w:p w:rsidR="00FD5507" w:rsidRDefault="00715BA0">
            <w:pPr>
              <w:jc w:val="center"/>
            </w:pPr>
            <w:r>
              <w:t>Siła oddziaływania</w:t>
            </w:r>
          </w:p>
        </w:tc>
        <w:tc>
          <w:tcPr>
            <w:tcW w:w="2145" w:type="dxa"/>
            <w:shd w:val="clear" w:color="auto" w:fill="D9D9D9"/>
          </w:tcPr>
          <w:p w:rsidR="00FD5507" w:rsidRDefault="00715BA0">
            <w:pPr>
              <w:jc w:val="center"/>
            </w:pPr>
            <w:r>
              <w:t>Prawdopodobieństwo wystąpienia ryzyka</w:t>
            </w:r>
          </w:p>
        </w:tc>
        <w:tc>
          <w:tcPr>
            <w:tcW w:w="4515" w:type="dxa"/>
            <w:shd w:val="clear" w:color="auto" w:fill="D9D9D9"/>
          </w:tcPr>
          <w:p w:rsidR="00FD5507" w:rsidRDefault="00715BA0">
            <w:pPr>
              <w:jc w:val="center"/>
            </w:pPr>
            <w:r>
              <w:t>Sposób zminimalizowania ryzyka</w:t>
            </w:r>
          </w:p>
        </w:tc>
      </w:tr>
      <w:tr w:rsidR="00FD5507" w:rsidTr="00621E36">
        <w:trPr>
          <w:trHeight w:val="720"/>
          <w:jc w:val="center"/>
        </w:trPr>
        <w:tc>
          <w:tcPr>
            <w:tcW w:w="2410" w:type="dxa"/>
          </w:tcPr>
          <w:p w:rsidR="00FD5507" w:rsidRDefault="00715BA0">
            <w:pPr>
              <w:jc w:val="center"/>
            </w:pPr>
            <w:r>
              <w:t>Opóźnienie w wykonywaniu zadań przez partnera projektu</w:t>
            </w:r>
          </w:p>
        </w:tc>
        <w:tc>
          <w:tcPr>
            <w:tcW w:w="1508" w:type="dxa"/>
            <w:shd w:val="clear" w:color="auto" w:fill="FFFFFF"/>
          </w:tcPr>
          <w:p w:rsidR="00FD5507" w:rsidRDefault="00715BA0">
            <w:pPr>
              <w:jc w:val="center"/>
            </w:pPr>
            <w:r>
              <w:t>duża</w:t>
            </w:r>
          </w:p>
        </w:tc>
        <w:tc>
          <w:tcPr>
            <w:tcW w:w="214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znikome</w:t>
            </w:r>
          </w:p>
        </w:tc>
        <w:tc>
          <w:tcPr>
            <w:tcW w:w="451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Szczegółowy harmonogram działań i powołanie osoby odpowiedzialnej za kontrolę postępu prac w każdym zadaniu. W przypadku opóźnienia pomoc lidera projektu w ukończeniu zadania.</w:t>
            </w:r>
          </w:p>
        </w:tc>
      </w:tr>
      <w:tr w:rsidR="00FD5507" w:rsidTr="00621E36">
        <w:trPr>
          <w:trHeight w:val="1440"/>
          <w:jc w:val="center"/>
        </w:trPr>
        <w:tc>
          <w:tcPr>
            <w:tcW w:w="2410" w:type="dxa"/>
          </w:tcPr>
          <w:p w:rsidR="00FD5507" w:rsidRDefault="00715BA0">
            <w:pPr>
              <w:jc w:val="center"/>
            </w:pPr>
            <w:r>
              <w:t>Opóźnienia w dostarczaniu oprogramowania i/lub sprzętu komputerowego</w:t>
            </w:r>
          </w:p>
        </w:tc>
        <w:tc>
          <w:tcPr>
            <w:tcW w:w="1508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214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znikome</w:t>
            </w:r>
          </w:p>
        </w:tc>
        <w:tc>
          <w:tcPr>
            <w:tcW w:w="451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Przygotowanie i realizacja zamówień publicznych zostanie rozpoczęta możliwie wcześnie. W umowach zawarte zostaną klauzule o nieprzekraczalności terminów dostaw.</w:t>
            </w:r>
          </w:p>
        </w:tc>
      </w:tr>
      <w:tr w:rsidR="00FD5507" w:rsidTr="00621E36">
        <w:trPr>
          <w:trHeight w:val="720"/>
          <w:jc w:val="center"/>
        </w:trPr>
        <w:tc>
          <w:tcPr>
            <w:tcW w:w="2410" w:type="dxa"/>
          </w:tcPr>
          <w:p w:rsidR="00FD5507" w:rsidRDefault="00715BA0">
            <w:pPr>
              <w:jc w:val="center"/>
            </w:pPr>
            <w:r>
              <w:t>Opóźnienia w digitalizacji dokumentów</w:t>
            </w:r>
          </w:p>
        </w:tc>
        <w:tc>
          <w:tcPr>
            <w:tcW w:w="1508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214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średnie</w:t>
            </w:r>
          </w:p>
        </w:tc>
        <w:tc>
          <w:tcPr>
            <w:tcW w:w="451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W przypadku stwierdzenia opóźnień zaangażowanie większej liczby pracowników w realizację zadania digitalizacji.</w:t>
            </w:r>
          </w:p>
        </w:tc>
      </w:tr>
      <w:tr w:rsidR="00FD5507" w:rsidTr="00621E36">
        <w:trPr>
          <w:trHeight w:val="720"/>
          <w:jc w:val="center"/>
        </w:trPr>
        <w:tc>
          <w:tcPr>
            <w:tcW w:w="2410" w:type="dxa"/>
          </w:tcPr>
          <w:p w:rsidR="00FD5507" w:rsidRDefault="00715BA0">
            <w:pPr>
              <w:jc w:val="center"/>
            </w:pPr>
            <w:r>
              <w:t>Spójność i korelacja danych</w:t>
            </w:r>
          </w:p>
        </w:tc>
        <w:tc>
          <w:tcPr>
            <w:tcW w:w="1508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214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znikome</w:t>
            </w:r>
          </w:p>
        </w:tc>
        <w:tc>
          <w:tcPr>
            <w:tcW w:w="451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Metodyka dostępu do danych i sposoby ich agregacji zostaną ustalone wspólną metodyką dla wszystkich partnerów co pozwoli na przygotowanie spójnych formatów danych.</w:t>
            </w:r>
          </w:p>
        </w:tc>
      </w:tr>
      <w:tr w:rsidR="00FD5507" w:rsidTr="00621E36">
        <w:trPr>
          <w:trHeight w:val="720"/>
          <w:jc w:val="center"/>
        </w:trPr>
        <w:tc>
          <w:tcPr>
            <w:tcW w:w="2410" w:type="dxa"/>
          </w:tcPr>
          <w:p w:rsidR="00FD5507" w:rsidRDefault="00715BA0">
            <w:pPr>
              <w:jc w:val="center"/>
            </w:pPr>
            <w:r>
              <w:t>Niewystarczające przeszkolenie z zakresu wykorzystywanej infrastruktury informatycznej</w:t>
            </w:r>
          </w:p>
        </w:tc>
        <w:tc>
          <w:tcPr>
            <w:tcW w:w="1508" w:type="dxa"/>
            <w:shd w:val="clear" w:color="auto" w:fill="FFFFFF"/>
          </w:tcPr>
          <w:p w:rsidR="00FD5507" w:rsidRDefault="00715BA0">
            <w:pPr>
              <w:jc w:val="center"/>
            </w:pPr>
            <w:r>
              <w:t>mała</w:t>
            </w:r>
          </w:p>
        </w:tc>
        <w:tc>
          <w:tcPr>
            <w:tcW w:w="214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średnie</w:t>
            </w:r>
          </w:p>
        </w:tc>
        <w:tc>
          <w:tcPr>
            <w:tcW w:w="451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Osoby odpowiedzialne za obsługę informatyczną systemu przejdą gruntowne szkolenia z zakresu wykorzystywanego oprogramowania jak i urządzeń. Szkolenia realizowane będą wspólnie dla wszystkich partnerów i dostosowane do potrzeb definiowanych projektem.</w:t>
            </w:r>
          </w:p>
        </w:tc>
      </w:tr>
      <w:tr w:rsidR="00FD5507" w:rsidTr="00621E36">
        <w:trPr>
          <w:trHeight w:val="720"/>
          <w:jc w:val="center"/>
        </w:trPr>
        <w:tc>
          <w:tcPr>
            <w:tcW w:w="2410" w:type="dxa"/>
          </w:tcPr>
          <w:p w:rsidR="00FD5507" w:rsidRDefault="00715BA0">
            <w:pPr>
              <w:jc w:val="center"/>
            </w:pPr>
            <w:r>
              <w:t>Problem z wydajnością systemu i obsługą dużej ilości danych</w:t>
            </w:r>
          </w:p>
        </w:tc>
        <w:tc>
          <w:tcPr>
            <w:tcW w:w="1508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214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znikome</w:t>
            </w:r>
          </w:p>
        </w:tc>
        <w:tc>
          <w:tcPr>
            <w:tcW w:w="4515" w:type="dxa"/>
            <w:shd w:val="clear" w:color="auto" w:fill="FFFFFF"/>
          </w:tcPr>
          <w:p w:rsidR="00FD5507" w:rsidRDefault="00715BA0">
            <w:pPr>
              <w:jc w:val="center"/>
            </w:pPr>
            <w:r>
              <w:t>Bazy danych zostaną utworzone w szybkich centrach danych i połączonych łączem o przepustowości nie niższej niż 10 Gbps. Testy wydajności i stabilności systemu będą przeprowadzone przed wdrożeniem produkcyjnej wersji platformy. Przy stwierdzeniu problemów kod oprogramowania zostanie zmodyfikowany pod kątem optymalizacji wydajności systemu i/lub wynajęte zostaną serwery o wyższej mocy obliczeniowej.</w:t>
            </w: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FD5507" w:rsidRDefault="00715BA0" w:rsidP="00621E36">
      <w:pPr>
        <w:pStyle w:val="Nagwek2"/>
        <w:numPr>
          <w:ilvl w:val="1"/>
          <w:numId w:val="17"/>
        </w:numPr>
        <w:spacing w:after="0"/>
        <w:ind w:hanging="1070"/>
      </w:pPr>
      <w:bookmarkStart w:id="14" w:name="_lnxbz9" w:colFirst="0" w:colLast="0"/>
      <w:bookmarkEnd w:id="14"/>
      <w:r>
        <w:t>Ryzyka wpływające na utrzymanie efektów</w:t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tbl>
      <w:tblPr>
        <w:tblStyle w:val="aa"/>
        <w:tblW w:w="103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38"/>
        <w:gridCol w:w="1620"/>
        <w:gridCol w:w="5752"/>
      </w:tblGrid>
      <w:tr w:rsidR="00FD5507">
        <w:trPr>
          <w:trHeight w:val="720"/>
          <w:jc w:val="center"/>
        </w:trPr>
        <w:tc>
          <w:tcPr>
            <w:tcW w:w="2938" w:type="dxa"/>
            <w:shd w:val="clear" w:color="auto" w:fill="D9D9D9"/>
          </w:tcPr>
          <w:p w:rsidR="00FD5507" w:rsidRDefault="00715BA0">
            <w:pPr>
              <w:jc w:val="center"/>
            </w:pPr>
            <w:r>
              <w:t>Nazwa ryzyka</w:t>
            </w:r>
          </w:p>
        </w:tc>
        <w:tc>
          <w:tcPr>
            <w:tcW w:w="1620" w:type="dxa"/>
            <w:shd w:val="clear" w:color="auto" w:fill="D9D9D9"/>
          </w:tcPr>
          <w:p w:rsidR="00FD5507" w:rsidRDefault="00715BA0">
            <w:pPr>
              <w:jc w:val="center"/>
            </w:pPr>
            <w:r>
              <w:t>Siła oddziaływania</w:t>
            </w:r>
          </w:p>
        </w:tc>
        <w:tc>
          <w:tcPr>
            <w:tcW w:w="5752" w:type="dxa"/>
            <w:shd w:val="clear" w:color="auto" w:fill="D9D9D9"/>
          </w:tcPr>
          <w:p w:rsidR="00FD5507" w:rsidRDefault="00715BA0">
            <w:pPr>
              <w:jc w:val="center"/>
            </w:pPr>
            <w:r>
              <w:t>Sposób zminimalizowania ryzyka</w:t>
            </w:r>
          </w:p>
        </w:tc>
      </w:tr>
      <w:tr w:rsidR="00FD5507">
        <w:trPr>
          <w:trHeight w:val="660"/>
          <w:jc w:val="center"/>
        </w:trPr>
        <w:tc>
          <w:tcPr>
            <w:tcW w:w="2938" w:type="dxa"/>
          </w:tcPr>
          <w:p w:rsidR="00FD5507" w:rsidRDefault="00715BA0">
            <w:pPr>
              <w:jc w:val="center"/>
            </w:pPr>
            <w:r>
              <w:t>Opóźnienia lub ograniczenie ilości zdigitalizowanych dokumentów</w:t>
            </w:r>
          </w:p>
        </w:tc>
        <w:tc>
          <w:tcPr>
            <w:tcW w:w="1620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5752" w:type="dxa"/>
            <w:shd w:val="clear" w:color="auto" w:fill="FFFFFF"/>
          </w:tcPr>
          <w:p w:rsidR="00FD5507" w:rsidRDefault="00715BA0">
            <w:pPr>
              <w:jc w:val="both"/>
            </w:pPr>
            <w:r>
              <w:t>Kontrola postępu prac przez liderów zadań w trybie ciągłym i szczegółowy harmonogram prac zasygnalizują wcześniej problemy z szybkością digitalizacji dokumentów. Lider projektu będzie w stanie reagować u partnera lub wspomóc go w realizacji zadania.</w:t>
            </w:r>
          </w:p>
        </w:tc>
      </w:tr>
      <w:tr w:rsidR="00FD5507">
        <w:trPr>
          <w:trHeight w:val="660"/>
          <w:jc w:val="center"/>
        </w:trPr>
        <w:tc>
          <w:tcPr>
            <w:tcW w:w="2938" w:type="dxa"/>
          </w:tcPr>
          <w:p w:rsidR="00FD5507" w:rsidRDefault="00715BA0">
            <w:pPr>
              <w:jc w:val="center"/>
            </w:pPr>
            <w:r>
              <w:lastRenderedPageBreak/>
              <w:t>Niewystarczająca prędkość i przepływność danych</w:t>
            </w:r>
          </w:p>
        </w:tc>
        <w:tc>
          <w:tcPr>
            <w:tcW w:w="1620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5752" w:type="dxa"/>
            <w:shd w:val="clear" w:color="auto" w:fill="FFFFFF"/>
          </w:tcPr>
          <w:p w:rsidR="00FD5507" w:rsidRDefault="00715BA0">
            <w:pPr>
              <w:jc w:val="both"/>
            </w:pPr>
            <w:r>
              <w:t xml:space="preserve">Wsparcie PCSS (Poznańskie Centrum Superkomputerowo Sieciowe) w realizacji projektu i wirtualizacja serwerów w chmurze pozwala na szybkie skalowanie systemu (dobór wydajniejszych wirtualnych maszyn). </w:t>
            </w:r>
          </w:p>
        </w:tc>
      </w:tr>
      <w:tr w:rsidR="00FD5507">
        <w:trPr>
          <w:trHeight w:val="660"/>
          <w:jc w:val="center"/>
        </w:trPr>
        <w:tc>
          <w:tcPr>
            <w:tcW w:w="2938" w:type="dxa"/>
          </w:tcPr>
          <w:p w:rsidR="00FD5507" w:rsidRDefault="00715BA0">
            <w:pPr>
              <w:jc w:val="center"/>
            </w:pPr>
            <w:r>
              <w:t>Brak zaangażowania pracowników instytutu w rozwój platformy</w:t>
            </w:r>
          </w:p>
        </w:tc>
        <w:tc>
          <w:tcPr>
            <w:tcW w:w="1620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5752" w:type="dxa"/>
            <w:shd w:val="clear" w:color="auto" w:fill="FFFFFF"/>
          </w:tcPr>
          <w:p w:rsidR="00FD5507" w:rsidRDefault="00715BA0">
            <w:pPr>
              <w:jc w:val="both"/>
            </w:pPr>
            <w:r>
              <w:t xml:space="preserve">Przeprowadzenie szkoleń dla pracowników i monitorowanie ich efektywności pozwoli zidentyfikować obszary w których dodatkowa informacja powinna być uzupełniona. System kilku szkoleń wewnętrznych dodatkowo utrwali wiedzę o wykorzystaniu systemu. </w:t>
            </w:r>
          </w:p>
        </w:tc>
      </w:tr>
      <w:tr w:rsidR="00FD5507">
        <w:trPr>
          <w:trHeight w:val="660"/>
          <w:jc w:val="center"/>
        </w:trPr>
        <w:tc>
          <w:tcPr>
            <w:tcW w:w="2938" w:type="dxa"/>
          </w:tcPr>
          <w:p w:rsidR="00FD5507" w:rsidRDefault="00715BA0">
            <w:pPr>
              <w:jc w:val="center"/>
            </w:pPr>
            <w:r>
              <w:t>Nieosiągnięcie deklarowanej liczby użytkowników</w:t>
            </w:r>
          </w:p>
        </w:tc>
        <w:tc>
          <w:tcPr>
            <w:tcW w:w="1620" w:type="dxa"/>
            <w:shd w:val="clear" w:color="auto" w:fill="FFFFFF"/>
          </w:tcPr>
          <w:p w:rsidR="00FD5507" w:rsidRDefault="00715BA0">
            <w:pPr>
              <w:jc w:val="center"/>
            </w:pPr>
            <w:r>
              <w:t>średnia</w:t>
            </w:r>
          </w:p>
        </w:tc>
        <w:tc>
          <w:tcPr>
            <w:tcW w:w="5752" w:type="dxa"/>
            <w:shd w:val="clear" w:color="auto" w:fill="FFFFFF"/>
          </w:tcPr>
          <w:p w:rsidR="00FD5507" w:rsidRDefault="00715BA0">
            <w:pPr>
              <w:jc w:val="both"/>
            </w:pPr>
            <w:r>
              <w:t xml:space="preserve">Informacja i promocja projektu skupione zostaną wokół sfer beneficjentów mogących najlepiej wykorzystać zasoby platformy. Informacja będzie dystrybuowana za pośrednictwem targów oraz spotkań tematycznych i szkoleń informujących o możliwościach i zakresie informacji zdeponowanej w repozytorium. </w:t>
            </w: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FD5507" w:rsidRDefault="00715BA0" w:rsidP="00621E36">
      <w:pPr>
        <w:pStyle w:val="Nagwek1"/>
        <w:numPr>
          <w:ilvl w:val="0"/>
          <w:numId w:val="17"/>
        </w:numPr>
        <w:rPr>
          <w:smallCaps w:val="0"/>
          <w:sz w:val="20"/>
          <w:szCs w:val="20"/>
        </w:rPr>
      </w:pPr>
      <w:r>
        <w:t xml:space="preserve">OTOCZENIE PRAWNE </w:t>
      </w:r>
    </w:p>
    <w:p w:rsidR="00061C9E" w:rsidRDefault="00715BA0" w:rsidP="00830030">
      <w:pPr>
        <w:spacing w:after="240"/>
        <w:ind w:left="-142" w:firstLine="50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Otoczenie prawne w pełni sprzyja idei utworzenia wspólnej platformy repozytoryjnej instytutów badawczych. Polska identyfikuje się z ogólnoświatowym trendem “otwierania nauki”. W przypadku prac powstających w ramach Programu Horyzont 2020 otwartość ta jest obowiązkiem, natomiast w zakresie innych wyników działalności naukowo-badawczej (w tym tych, tworzonych przez instytuty badawcze) funkcjonują obecnie rekomendacje Ministerstwa Nauki i Szkolnictwa Wyższego (“Kierunki rozwoju otwartego dostępu do publikacji i wyników badań naukowych w Polsce”). </w:t>
      </w:r>
    </w:p>
    <w:p w:rsidR="00FD5507" w:rsidRDefault="00715BA0" w:rsidP="00830030">
      <w:pPr>
        <w:pBdr>
          <w:top w:val="nil"/>
          <w:left w:val="nil"/>
          <w:bottom w:val="nil"/>
          <w:right w:val="nil"/>
          <w:between w:val="nil"/>
        </w:pBdr>
        <w:spacing w:after="120"/>
        <w:ind w:left="-142" w:firstLine="502"/>
        <w:jc w:val="both"/>
        <w:rPr>
          <w:color w:val="000000"/>
        </w:rPr>
      </w:pPr>
      <w:r>
        <w:rPr>
          <w:color w:val="000000"/>
          <w:sz w:val="22"/>
          <w:szCs w:val="22"/>
        </w:rPr>
        <w:t>Wszystkie instytuty badawcze wchodzące w skład Partnerstwa projektowego posiadają prawa własności intelektualnej do zasobów dedykowanych do umieszczenia na platformie i udostępnienia ich pełnotekstowych wersji. Prawa te obejmują możliwość publikowania w/w prac w formule otwartego dostępu.</w:t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hanging="900"/>
        <w:rPr>
          <w:color w:val="000000"/>
        </w:rPr>
      </w:pPr>
    </w:p>
    <w:p w:rsidR="00FD5507" w:rsidRDefault="00715BA0" w:rsidP="00621E36">
      <w:pPr>
        <w:pStyle w:val="Nagwek1"/>
        <w:numPr>
          <w:ilvl w:val="0"/>
          <w:numId w:val="17"/>
        </w:numPr>
      </w:pPr>
      <w:r>
        <w:lastRenderedPageBreak/>
        <w:t>ARCHITEKTURA</w:t>
      </w:r>
    </w:p>
    <w:p w:rsidR="00FD5507" w:rsidRDefault="00621E36" w:rsidP="00621E36">
      <w:pPr>
        <w:pStyle w:val="Nagwek2"/>
        <w:keepNext/>
        <w:ind w:left="710" w:firstLine="0"/>
      </w:pPr>
      <w:r>
        <w:t>7.1</w:t>
      </w:r>
      <w:r>
        <w:tab/>
      </w:r>
      <w:r w:rsidR="00715BA0">
        <w:t>Widok kooperacji aplikacji</w:t>
      </w:r>
    </w:p>
    <w:p w:rsidR="00FD5507" w:rsidRDefault="007C6709" w:rsidP="007C670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/>
        <w:rPr>
          <w:color w:val="000000"/>
        </w:rPr>
      </w:pPr>
      <w:bookmarkStart w:id="15" w:name="_35nkun2" w:colFirst="0" w:colLast="0"/>
      <w:bookmarkEnd w:id="15"/>
      <w:r>
        <w:rPr>
          <w:noProof/>
          <w:color w:val="000000"/>
        </w:rPr>
        <w:drawing>
          <wp:inline distT="0" distB="0" distL="0" distR="0" wp14:anchorId="7F284412" wp14:editId="46C85116">
            <wp:extent cx="6400800" cy="48006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unek10.1_ost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b"/>
        <w:tblW w:w="9495" w:type="dxa"/>
        <w:tblInd w:w="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7434"/>
      </w:tblGrid>
      <w:tr w:rsidR="00FD5507">
        <w:tc>
          <w:tcPr>
            <w:tcW w:w="2061" w:type="dxa"/>
            <w:shd w:val="clear" w:color="auto" w:fill="F2F2F2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333333"/>
                <w:sz w:val="22"/>
                <w:szCs w:val="22"/>
              </w:rPr>
              <w:t>Status</w:t>
            </w:r>
          </w:p>
        </w:tc>
        <w:tc>
          <w:tcPr>
            <w:tcW w:w="7434" w:type="dxa"/>
            <w:shd w:val="clear" w:color="auto" w:fill="F2F2F2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Opis</w:t>
            </w:r>
          </w:p>
        </w:tc>
      </w:tr>
      <w:tr w:rsidR="00FD5507">
        <w:tc>
          <w:tcPr>
            <w:tcW w:w="2061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rPr>
                <w:color w:val="000000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Planowany</w:t>
            </w:r>
          </w:p>
        </w:tc>
        <w:tc>
          <w:tcPr>
            <w:tcW w:w="7434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rPr>
                <w:color w:val="000000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System projektowany, w trakcie budowy, w trakcie wdrożenia.</w:t>
            </w:r>
          </w:p>
        </w:tc>
      </w:tr>
      <w:tr w:rsidR="00FD5507">
        <w:tc>
          <w:tcPr>
            <w:tcW w:w="2061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rPr>
                <w:color w:val="000000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Modyfikowany</w:t>
            </w:r>
          </w:p>
        </w:tc>
        <w:tc>
          <w:tcPr>
            <w:tcW w:w="7434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rPr>
                <w:strike/>
                <w:color w:val="000000"/>
                <w:sz w:val="22"/>
                <w:szCs w:val="22"/>
              </w:rPr>
            </w:pPr>
            <w:r>
              <w:rPr>
                <w:strike/>
                <w:color w:val="333333"/>
                <w:sz w:val="22"/>
                <w:szCs w:val="22"/>
              </w:rPr>
              <w:t>System modyfikowany, rozszerzany na potrzeby projektu.</w:t>
            </w:r>
          </w:p>
        </w:tc>
      </w:tr>
      <w:tr w:rsidR="00FD5507">
        <w:tc>
          <w:tcPr>
            <w:tcW w:w="2061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Istniejący</w:t>
            </w:r>
          </w:p>
        </w:tc>
        <w:tc>
          <w:tcPr>
            <w:tcW w:w="7434" w:type="dxa"/>
          </w:tcPr>
          <w:p w:rsidR="00FD5507" w:rsidRDefault="00715B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/>
              <w:rPr>
                <w:strike/>
                <w:color w:val="333333"/>
                <w:sz w:val="22"/>
                <w:szCs w:val="22"/>
              </w:rPr>
            </w:pPr>
            <w:r>
              <w:rPr>
                <w:strike/>
                <w:color w:val="333333"/>
                <w:sz w:val="22"/>
                <w:szCs w:val="22"/>
              </w:rPr>
              <w:t>System działający produkcyjnie, gotowy do wykorzystania</w:t>
            </w: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900"/>
        <w:jc w:val="both"/>
        <w:rPr>
          <w:color w:val="000000"/>
        </w:rPr>
      </w:pPr>
    </w:p>
    <w:p w:rsidR="00B52AB4" w:rsidRDefault="00B52AB4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900"/>
        <w:jc w:val="both"/>
        <w:rPr>
          <w:color w:val="000000"/>
        </w:rPr>
      </w:pPr>
      <w:r>
        <w:rPr>
          <w:color w:val="000000"/>
        </w:rPr>
        <w:br/>
      </w:r>
    </w:p>
    <w:p w:rsidR="00B52AB4" w:rsidRDefault="00B52AB4">
      <w:pPr>
        <w:rPr>
          <w:color w:val="000000"/>
        </w:rPr>
      </w:pPr>
      <w:r>
        <w:rPr>
          <w:color w:val="000000"/>
        </w:rPr>
        <w:br w:type="page"/>
      </w:r>
    </w:p>
    <w:p w:rsidR="00FD5507" w:rsidRDefault="00715BA0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900"/>
        <w:jc w:val="both"/>
        <w:rPr>
          <w:color w:val="7F7F7F"/>
          <w:sz w:val="20"/>
          <w:szCs w:val="20"/>
        </w:rPr>
      </w:pPr>
      <w:r>
        <w:rPr>
          <w:color w:val="000000"/>
        </w:rPr>
        <w:lastRenderedPageBreak/>
        <w:t xml:space="preserve">Lista systemów wykorzystywanych w projekcie </w:t>
      </w:r>
    </w:p>
    <w:tbl>
      <w:tblPr>
        <w:tblStyle w:val="ac"/>
        <w:tblW w:w="9671" w:type="dxa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"/>
        <w:gridCol w:w="1365"/>
        <w:gridCol w:w="1356"/>
        <w:gridCol w:w="2403"/>
        <w:gridCol w:w="1734"/>
        <w:gridCol w:w="1849"/>
      </w:tblGrid>
      <w:tr w:rsidR="00FD5507" w:rsidTr="000944C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Nazwa systemu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Gestor systemu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Opis systemu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Krótki opis ewentualnej zmiany</w:t>
            </w:r>
          </w:p>
        </w:tc>
      </w:tr>
      <w:tr w:rsidR="00FD5507" w:rsidTr="000944C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0944C0" w:rsidRDefault="00444E3B" w:rsidP="00B52AB4">
            <w:pPr>
              <w:spacing w:line="256" w:lineRule="auto"/>
              <w:jc w:val="center"/>
            </w:pPr>
            <w:r w:rsidRPr="000944C0"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0944C0" w:rsidRDefault="000944C0" w:rsidP="000944C0">
            <w:pPr>
              <w:spacing w:line="256" w:lineRule="auto"/>
            </w:pPr>
            <w:r w:rsidRPr="000944C0">
              <w:t>System digitalizacji i obróbki danych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0944C0" w:rsidRDefault="000944C0">
            <w:pPr>
              <w:spacing w:line="256" w:lineRule="auto"/>
              <w:jc w:val="center"/>
            </w:pPr>
            <w:r w:rsidRPr="000944C0">
              <w:t>Konsorcjum projektowe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0944C0" w:rsidRDefault="000944C0">
            <w:pPr>
              <w:spacing w:line="256" w:lineRule="auto"/>
              <w:jc w:val="center"/>
            </w:pPr>
            <w:r w:rsidRPr="000944C0">
              <w:t xml:space="preserve">Stanowiska obejmujące skanery i sprzęt do obróbki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0944C0" w:rsidRDefault="00715BA0" w:rsidP="00444E3B">
            <w:pPr>
              <w:spacing w:line="256" w:lineRule="auto"/>
              <w:jc w:val="center"/>
            </w:pPr>
            <w:r w:rsidRPr="000944C0">
              <w:t>system planowany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0944C0" w:rsidRDefault="000944C0">
            <w:pPr>
              <w:spacing w:line="256" w:lineRule="auto"/>
              <w:jc w:val="center"/>
            </w:pPr>
            <w:r w:rsidRPr="000944C0">
              <w:t>Nie dotyczy</w:t>
            </w:r>
          </w:p>
        </w:tc>
      </w:tr>
      <w:tr w:rsidR="000944C0" w:rsidTr="000944C0">
        <w:trPr>
          <w:trHeight w:val="97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 w:rsidP="00B52AB4">
            <w:pPr>
              <w:spacing w:line="256" w:lineRule="auto"/>
              <w:jc w:val="center"/>
            </w:pPr>
            <w:r w:rsidRPr="000944C0"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 w:rsidP="000944C0">
            <w:pPr>
              <w:spacing w:line="256" w:lineRule="auto"/>
            </w:pPr>
            <w:r w:rsidRPr="000944C0">
              <w:t>System przechowywania danych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>
            <w:pPr>
              <w:spacing w:line="256" w:lineRule="auto"/>
              <w:jc w:val="center"/>
            </w:pPr>
            <w:r w:rsidRPr="000944C0">
              <w:t>Konsorcjum projektowe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>
            <w:pPr>
              <w:spacing w:line="256" w:lineRule="auto"/>
              <w:jc w:val="center"/>
            </w:pPr>
            <w:r w:rsidRPr="000944C0">
              <w:t>System obejmujący serwery do przechowywania danych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 w:rsidP="00444E3B">
            <w:pPr>
              <w:spacing w:line="256" w:lineRule="auto"/>
              <w:jc w:val="center"/>
            </w:pPr>
            <w:r w:rsidRPr="000944C0">
              <w:t>system planowany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>
            <w:pPr>
              <w:spacing w:line="256" w:lineRule="auto"/>
              <w:jc w:val="center"/>
            </w:pPr>
            <w:r w:rsidRPr="000944C0">
              <w:t>Nie dotyczy</w:t>
            </w:r>
          </w:p>
        </w:tc>
      </w:tr>
      <w:tr w:rsidR="000944C0" w:rsidTr="000944C0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 w:rsidP="00B52AB4">
            <w:pPr>
              <w:spacing w:line="256" w:lineRule="auto"/>
              <w:jc w:val="center"/>
            </w:pPr>
            <w:r w:rsidRPr="000944C0"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 w:rsidP="000944C0">
            <w:pPr>
              <w:spacing w:line="256" w:lineRule="auto"/>
            </w:pPr>
            <w:r w:rsidRPr="000944C0">
              <w:t>System udostępniania danych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>
            <w:pPr>
              <w:spacing w:line="256" w:lineRule="auto"/>
              <w:jc w:val="center"/>
            </w:pPr>
            <w:r w:rsidRPr="000944C0">
              <w:t>Konsorcjum projektowe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>
            <w:pPr>
              <w:spacing w:line="256" w:lineRule="auto"/>
              <w:jc w:val="center"/>
            </w:pPr>
            <w:r w:rsidRPr="000944C0">
              <w:t>Portal umożliwiający udostępnianie danych użytkownikowi końcowemu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 w:rsidP="00444E3B">
            <w:pPr>
              <w:spacing w:line="256" w:lineRule="auto"/>
              <w:jc w:val="center"/>
            </w:pPr>
            <w:r w:rsidRPr="000944C0">
              <w:t>system planowany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4C0" w:rsidRPr="000944C0" w:rsidRDefault="000944C0">
            <w:pPr>
              <w:spacing w:line="256" w:lineRule="auto"/>
              <w:jc w:val="center"/>
            </w:pPr>
            <w:r w:rsidRPr="000944C0">
              <w:t>Nie dotyczy</w:t>
            </w:r>
          </w:p>
        </w:tc>
      </w:tr>
    </w:tbl>
    <w:p w:rsidR="00FD5507" w:rsidRDefault="00FD5507">
      <w:pPr>
        <w:jc w:val="both"/>
        <w:rPr>
          <w:color w:val="0070C0"/>
        </w:rPr>
      </w:pPr>
    </w:p>
    <w:p w:rsidR="00FD5507" w:rsidRDefault="00FD5507">
      <w:pPr>
        <w:jc w:val="both"/>
        <w:rPr>
          <w:color w:val="0070C0"/>
        </w:rPr>
      </w:pPr>
    </w:p>
    <w:p w:rsidR="00FD5507" w:rsidRDefault="00715BA0" w:rsidP="007C6709">
      <w:pPr>
        <w:spacing w:before="120" w:after="120"/>
        <w:jc w:val="both"/>
        <w:rPr>
          <w:color w:val="0070C0"/>
        </w:rPr>
      </w:pPr>
      <w:r>
        <w:t xml:space="preserve">Lista przepływów </w:t>
      </w:r>
    </w:p>
    <w:tbl>
      <w:tblPr>
        <w:tblStyle w:val="ad"/>
        <w:tblW w:w="9638" w:type="dxa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1"/>
        <w:gridCol w:w="1184"/>
        <w:gridCol w:w="1313"/>
        <w:gridCol w:w="1580"/>
        <w:gridCol w:w="1681"/>
        <w:gridCol w:w="1275"/>
        <w:gridCol w:w="1864"/>
      </w:tblGrid>
      <w:tr w:rsidR="00FD5507" w:rsidTr="00B52AB4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System źródłowy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System docelowy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Zakres  wymienianych danych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Sposób wymiany danych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Typ modyfikacji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Typ Interfejsu</w:t>
            </w:r>
          </w:p>
        </w:tc>
      </w:tr>
      <w:tr w:rsidR="00FD5507" w:rsidTr="00B52AB4">
        <w:trPr>
          <w:trHeight w:val="545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E258B2" w:rsidRDefault="00444E3B" w:rsidP="00E258B2">
            <w:pPr>
              <w:spacing w:line="256" w:lineRule="auto"/>
              <w:jc w:val="center"/>
            </w:pPr>
            <w:r w:rsidRPr="00E258B2"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80165E" w:rsidP="00E258B2">
            <w:pPr>
              <w:spacing w:line="256" w:lineRule="auto"/>
              <w:jc w:val="center"/>
            </w:pPr>
            <w:r>
              <w:t>OCR</w:t>
            </w:r>
          </w:p>
          <w:p w:rsidR="00FD5507" w:rsidRPr="00E258B2" w:rsidRDefault="00FD5507" w:rsidP="00444E3B">
            <w:pPr>
              <w:jc w:val="center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E258B2" w:rsidRDefault="00444E3B">
            <w:pPr>
              <w:spacing w:line="256" w:lineRule="auto"/>
              <w:jc w:val="center"/>
            </w:pPr>
            <w:r w:rsidRPr="00E258B2">
              <w:t>serwer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E258B2" w:rsidRDefault="00444E3B">
            <w:pPr>
              <w:spacing w:line="256" w:lineRule="auto"/>
              <w:jc w:val="center"/>
            </w:pPr>
            <w:r w:rsidRPr="00E258B2">
              <w:t>Zasilanie danymi podstawowymi (obrobione pliki graficzne i tekstowe przesyłane do bazy)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E258B2" w:rsidRDefault="00444E3B" w:rsidP="00444E3B">
            <w:pPr>
              <w:spacing w:line="256" w:lineRule="auto"/>
              <w:jc w:val="center"/>
            </w:pPr>
            <w:r w:rsidRPr="00E258B2">
              <w:t>kopiowanie danych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E258B2" w:rsidRDefault="00444E3B" w:rsidP="00444E3B">
            <w:pPr>
              <w:spacing w:line="256" w:lineRule="auto"/>
              <w:jc w:val="center"/>
            </w:pPr>
            <w:r w:rsidRPr="00E258B2">
              <w:t>krytyczny dla sukcesu projektu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Pr="007C6709" w:rsidRDefault="007C6709" w:rsidP="00E2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</w:pPr>
            <w:r>
              <w:t>SWIFT</w:t>
            </w:r>
          </w:p>
        </w:tc>
      </w:tr>
      <w:tr w:rsidR="00444E3B" w:rsidTr="00B52AB4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444E3B" w:rsidP="00E258B2">
            <w:pPr>
              <w:spacing w:line="256" w:lineRule="auto"/>
              <w:jc w:val="center"/>
            </w:pPr>
            <w:r w:rsidRPr="00E258B2">
              <w:t>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80165E" w:rsidP="00E97E4B">
            <w:pPr>
              <w:spacing w:line="256" w:lineRule="auto"/>
              <w:jc w:val="center"/>
            </w:pPr>
            <w:r>
              <w:t>S</w:t>
            </w:r>
            <w:r w:rsidR="00444E3B" w:rsidRPr="00E258B2">
              <w:t>erwer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444E3B">
            <w:pPr>
              <w:spacing w:line="256" w:lineRule="auto"/>
              <w:jc w:val="center"/>
            </w:pPr>
            <w:r w:rsidRPr="00E258B2">
              <w:t>dspace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444E3B">
            <w:pPr>
              <w:spacing w:line="256" w:lineRule="auto"/>
              <w:jc w:val="center"/>
            </w:pPr>
            <w:r w:rsidRPr="00E258B2">
              <w:t>Dostęp do pełnego zakresu danych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444E3B">
            <w:pPr>
              <w:spacing w:line="256" w:lineRule="auto"/>
              <w:jc w:val="center"/>
            </w:pPr>
            <w:r w:rsidRPr="00E258B2">
              <w:t>Tryb odwołań bezpośrednich, kopiowanie danych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444E3B">
            <w:pPr>
              <w:spacing w:line="256" w:lineRule="auto"/>
              <w:jc w:val="center"/>
            </w:pPr>
            <w:r w:rsidRPr="00E258B2">
              <w:t>krytyczny dla sukcesu projektu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7C6709" w:rsidRDefault="000E2248" w:rsidP="000E22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</w:pPr>
            <w:r>
              <w:rPr>
                <w:color w:val="000000"/>
              </w:rPr>
              <w:t>SWIFT/REST</w:t>
            </w:r>
          </w:p>
        </w:tc>
      </w:tr>
      <w:tr w:rsidR="00444E3B" w:rsidTr="00B52AB4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444E3B" w:rsidP="00E258B2">
            <w:pPr>
              <w:spacing w:line="256" w:lineRule="auto"/>
              <w:jc w:val="center"/>
            </w:pPr>
            <w:r w:rsidRPr="00E258B2">
              <w:t>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E258B2" w:rsidP="00E258B2">
            <w:pPr>
              <w:spacing w:line="256" w:lineRule="auto"/>
              <w:jc w:val="center"/>
            </w:pPr>
            <w:r w:rsidRPr="00E258B2">
              <w:t>dspace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E258B2">
            <w:pPr>
              <w:spacing w:line="256" w:lineRule="auto"/>
              <w:jc w:val="center"/>
            </w:pPr>
            <w:r w:rsidRPr="00E258B2">
              <w:t>portal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E258B2" w:rsidP="00E258B2">
            <w:pPr>
              <w:spacing w:line="256" w:lineRule="auto"/>
              <w:jc w:val="center"/>
            </w:pPr>
            <w:r w:rsidRPr="00E258B2">
              <w:t>Wg zapytania użytkownika z dostępem do całej bazy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E258B2">
            <w:pPr>
              <w:spacing w:line="256" w:lineRule="auto"/>
              <w:jc w:val="center"/>
            </w:pPr>
            <w:r w:rsidRPr="00E258B2">
              <w:t>Tryb odwołań bezpośrednich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E258B2" w:rsidRDefault="00E258B2">
            <w:pPr>
              <w:spacing w:line="256" w:lineRule="auto"/>
              <w:jc w:val="center"/>
            </w:pPr>
            <w:r w:rsidRPr="00E258B2">
              <w:t>krytyczny dla sukcesu projektu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E3B" w:rsidRPr="007C6709" w:rsidRDefault="000E2248" w:rsidP="00E258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</w:pPr>
            <w:r>
              <w:rPr>
                <w:color w:val="000000"/>
              </w:rPr>
              <w:t>SWIFT/REST</w:t>
            </w:r>
          </w:p>
        </w:tc>
      </w:tr>
    </w:tbl>
    <w:p w:rsidR="00FD5507" w:rsidRDefault="00FD5507" w:rsidP="007C6709">
      <w:pPr>
        <w:pBdr>
          <w:top w:val="nil"/>
          <w:left w:val="nil"/>
          <w:bottom w:val="nil"/>
          <w:right w:val="nil"/>
          <w:between w:val="nil"/>
        </w:pBdr>
        <w:ind w:left="142"/>
        <w:jc w:val="both"/>
        <w:rPr>
          <w:color w:val="0070C0"/>
        </w:rPr>
      </w:pPr>
    </w:p>
    <w:p w:rsidR="00FD5507" w:rsidRDefault="00715BA0" w:rsidP="00621E36">
      <w:pPr>
        <w:pStyle w:val="Nagwek2"/>
        <w:keepNext/>
        <w:numPr>
          <w:ilvl w:val="1"/>
          <w:numId w:val="18"/>
        </w:numPr>
      </w:pPr>
      <w:bookmarkStart w:id="16" w:name="_1ksv4uv" w:colFirst="0" w:colLast="0"/>
      <w:bookmarkEnd w:id="16"/>
      <w:r>
        <w:lastRenderedPageBreak/>
        <w:t xml:space="preserve">Kluczowe komponenty architektury rozwiązania </w:t>
      </w:r>
    </w:p>
    <w:p w:rsidR="00FD5507" w:rsidRDefault="007C6709" w:rsidP="00B52AB4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1710"/>
        <w:jc w:val="center"/>
        <w:rPr>
          <w:color w:val="000000"/>
        </w:rPr>
      </w:pPr>
      <w:bookmarkStart w:id="17" w:name="_44sinio"/>
      <w:bookmarkEnd w:id="17"/>
      <w:r>
        <w:rPr>
          <w:noProof/>
          <w:color w:val="000000"/>
        </w:rPr>
        <w:drawing>
          <wp:inline distT="0" distB="0" distL="0" distR="0" wp14:anchorId="38869610" wp14:editId="1E37AB12">
            <wp:extent cx="4572000" cy="2639332"/>
            <wp:effectExtent l="0" t="0" r="0" b="889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unek_10-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2260" cy="264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851" w:hanging="851"/>
        <w:rPr>
          <w:color w:val="0070C0"/>
        </w:rPr>
      </w:pPr>
    </w:p>
    <w:p w:rsidR="00FD5507" w:rsidRDefault="00FD5507">
      <w:pPr>
        <w:pStyle w:val="Nagwek2"/>
        <w:keepNext/>
        <w:ind w:left="0" w:firstLine="0"/>
        <w:rPr>
          <w:b w:val="0"/>
          <w:color w:val="7F7F7F"/>
          <w:sz w:val="20"/>
          <w:szCs w:val="20"/>
        </w:rPr>
      </w:pPr>
    </w:p>
    <w:p w:rsidR="00FD5507" w:rsidRDefault="00715BA0" w:rsidP="00621E36">
      <w:pPr>
        <w:pStyle w:val="Nagwek2"/>
        <w:keepNext/>
        <w:numPr>
          <w:ilvl w:val="1"/>
          <w:numId w:val="18"/>
        </w:numPr>
        <w:rPr>
          <w:b w:val="0"/>
          <w:sz w:val="20"/>
          <w:szCs w:val="20"/>
        </w:rPr>
      </w:pPr>
      <w:r>
        <w:t xml:space="preserve">Przyjęte założenia technologiczne </w:t>
      </w:r>
      <w:r>
        <w:rPr>
          <w:b w:val="0"/>
          <w:color w:val="7F7F7F"/>
          <w:sz w:val="20"/>
          <w:szCs w:val="20"/>
        </w:rPr>
        <w:t>&lt;&lt;maksymalnie 2000 znaków&gt;&gt;</w:t>
      </w:r>
    </w:p>
    <w:p w:rsidR="00FD5507" w:rsidRDefault="00FD5507">
      <w:pPr>
        <w:ind w:left="851" w:firstLine="65"/>
        <w:jc w:val="both"/>
        <w:rPr>
          <w:color w:val="0070C0"/>
          <w:sz w:val="22"/>
          <w:szCs w:val="22"/>
        </w:rPr>
      </w:pPr>
    </w:p>
    <w:tbl>
      <w:tblPr>
        <w:tblStyle w:val="ae"/>
        <w:tblW w:w="9214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6521"/>
      </w:tblGrid>
      <w:tr w:rsidR="00FD5507">
        <w:tc>
          <w:tcPr>
            <w:tcW w:w="567" w:type="dxa"/>
            <w:shd w:val="clear" w:color="auto" w:fill="E7E6E6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:rsidR="00FD5507" w:rsidRDefault="00715BA0">
            <w:pPr>
              <w:rPr>
                <w:b/>
              </w:rPr>
            </w:pPr>
            <w:r>
              <w:rPr>
                <w:b/>
              </w:rPr>
              <w:t>Obszar</w:t>
            </w:r>
          </w:p>
        </w:tc>
        <w:tc>
          <w:tcPr>
            <w:tcW w:w="6521" w:type="dxa"/>
            <w:shd w:val="clear" w:color="auto" w:fill="E7E6E6"/>
          </w:tcPr>
          <w:p w:rsidR="00FD5507" w:rsidRDefault="00715BA0">
            <w:pPr>
              <w:jc w:val="center"/>
              <w:rPr>
                <w:b/>
              </w:rPr>
            </w:pPr>
            <w:r>
              <w:rPr>
                <w:b/>
              </w:rPr>
              <w:t>Założenie technologiczne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Infrastruktura</w:t>
            </w:r>
          </w:p>
        </w:tc>
        <w:tc>
          <w:tcPr>
            <w:tcW w:w="6521" w:type="dxa"/>
          </w:tcPr>
          <w:p w:rsidR="00FD5507" w:rsidRPr="00522A0A" w:rsidRDefault="00715BA0">
            <w:pPr>
              <w:jc w:val="center"/>
            </w:pPr>
            <w:r w:rsidRPr="00522A0A">
              <w:t>Serwery wirtualne, dobór zaufanych centrów kolokacji (PCSS), uczelniana sieć miejska POZMAN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Sieć i bezpieczeństwo</w:t>
            </w:r>
          </w:p>
        </w:tc>
        <w:tc>
          <w:tcPr>
            <w:tcW w:w="6521" w:type="dxa"/>
          </w:tcPr>
          <w:p w:rsidR="00FD5507" w:rsidRPr="00522A0A" w:rsidRDefault="00522A0A">
            <w:pPr>
              <w:jc w:val="center"/>
            </w:pPr>
            <w:r w:rsidRPr="00522A0A">
              <w:t>Bezpieczeństwo zapewnione w ramach wykorzystywanej infrastruktury (wynajmowane bezpieczne serwery) i oprogramowania (z wbudowanymi modułami ograniczającymi dostęp)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Standardy wymiany danych</w:t>
            </w:r>
          </w:p>
        </w:tc>
        <w:tc>
          <w:tcPr>
            <w:tcW w:w="6521" w:type="dxa"/>
          </w:tcPr>
          <w:p w:rsidR="00FD5507" w:rsidRPr="00522A0A" w:rsidRDefault="00522A0A">
            <w:pPr>
              <w:jc w:val="center"/>
            </w:pPr>
            <w:r w:rsidRPr="00522A0A">
              <w:t>-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Systemy operacyjne serwerowe</w:t>
            </w:r>
          </w:p>
        </w:tc>
        <w:tc>
          <w:tcPr>
            <w:tcW w:w="6521" w:type="dxa"/>
          </w:tcPr>
          <w:p w:rsidR="00FD5507" w:rsidRPr="00522A0A" w:rsidRDefault="00715BA0">
            <w:pPr>
              <w:jc w:val="center"/>
            </w:pPr>
            <w:r w:rsidRPr="00522A0A">
              <w:t>Linuxowe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B0F0"/>
              </w:rPr>
            </w:pPr>
            <w:r>
              <w:rPr>
                <w:color w:val="000000"/>
              </w:rPr>
              <w:t>Bazy danych</w:t>
            </w:r>
          </w:p>
        </w:tc>
        <w:tc>
          <w:tcPr>
            <w:tcW w:w="6521" w:type="dxa"/>
          </w:tcPr>
          <w:p w:rsidR="00FD5507" w:rsidRPr="00522A0A" w:rsidRDefault="00522A0A">
            <w:pPr>
              <w:jc w:val="center"/>
            </w:pPr>
            <w:r w:rsidRPr="00522A0A">
              <w:t>System integrowany z dspace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Serwery aplikacji</w:t>
            </w:r>
          </w:p>
        </w:tc>
        <w:tc>
          <w:tcPr>
            <w:tcW w:w="6521" w:type="dxa"/>
          </w:tcPr>
          <w:p w:rsidR="00FD5507" w:rsidRPr="00522A0A" w:rsidRDefault="00522A0A">
            <w:pPr>
              <w:jc w:val="center"/>
            </w:pPr>
            <w:r w:rsidRPr="00522A0A">
              <w:t>-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Portale</w:t>
            </w:r>
          </w:p>
        </w:tc>
        <w:tc>
          <w:tcPr>
            <w:tcW w:w="6521" w:type="dxa"/>
          </w:tcPr>
          <w:p w:rsidR="00FD5507" w:rsidRPr="00522A0A" w:rsidRDefault="00522A0A">
            <w:pPr>
              <w:jc w:val="center"/>
            </w:pPr>
            <w:r w:rsidRPr="00522A0A">
              <w:t>Strona www</w:t>
            </w:r>
          </w:p>
        </w:tc>
      </w:tr>
      <w:tr w:rsidR="00FD5507">
        <w:tc>
          <w:tcPr>
            <w:tcW w:w="567" w:type="dxa"/>
          </w:tcPr>
          <w:p w:rsidR="00FD5507" w:rsidRDefault="00FD550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</w:pPr>
          </w:p>
        </w:tc>
        <w:tc>
          <w:tcPr>
            <w:tcW w:w="2126" w:type="dxa"/>
          </w:tcPr>
          <w:p w:rsidR="00FD5507" w:rsidRDefault="00715BA0">
            <w:pPr>
              <w:rPr>
                <w:color w:val="000000"/>
              </w:rPr>
            </w:pPr>
            <w:r>
              <w:rPr>
                <w:color w:val="000000"/>
              </w:rPr>
              <w:t>Inne</w:t>
            </w:r>
          </w:p>
        </w:tc>
        <w:tc>
          <w:tcPr>
            <w:tcW w:w="6521" w:type="dxa"/>
          </w:tcPr>
          <w:p w:rsidR="00FD5507" w:rsidRPr="00522A0A" w:rsidRDefault="00522A0A">
            <w:pPr>
              <w:jc w:val="center"/>
            </w:pPr>
            <w:r w:rsidRPr="00522A0A">
              <w:t>-</w:t>
            </w: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FD5507" w:rsidRDefault="00715BA0" w:rsidP="00621E36">
      <w:pPr>
        <w:pStyle w:val="Nagwek2"/>
        <w:keepNext/>
        <w:numPr>
          <w:ilvl w:val="1"/>
          <w:numId w:val="18"/>
        </w:numPr>
        <w:rPr>
          <w:b w:val="0"/>
          <w:sz w:val="20"/>
          <w:szCs w:val="20"/>
        </w:rPr>
      </w:pPr>
      <w:bookmarkStart w:id="18" w:name="_2jxsxqh" w:colFirst="0" w:colLast="0"/>
      <w:bookmarkEnd w:id="18"/>
      <w:r>
        <w:t xml:space="preserve">Opis zasobów danych przetwarzanych w planowanym rozwiązaniu </w:t>
      </w:r>
    </w:p>
    <w:p w:rsidR="00FD5507" w:rsidRDefault="00715BA0">
      <w:pPr>
        <w:spacing w:before="120"/>
        <w:ind w:left="851"/>
        <w:jc w:val="both"/>
      </w:pPr>
      <w:r>
        <w:t>Czy nowy system będzie tworzył zasoby danych o charakterze rejestru publicznego?</w:t>
      </w:r>
    </w:p>
    <w:p w:rsidR="00FD5507" w:rsidRDefault="00715BA0">
      <w:pPr>
        <w:spacing w:before="120" w:after="120"/>
        <w:ind w:left="851"/>
        <w:jc w:val="both"/>
      </w:pPr>
      <w:r w:rsidRPr="00522A0A">
        <w:rPr>
          <w:strike/>
        </w:rPr>
        <w:lastRenderedPageBreak/>
        <w:t>TAK</w:t>
      </w:r>
      <w:r>
        <w:t xml:space="preserve">/NIE </w:t>
      </w:r>
      <w:r>
        <w:rPr>
          <w:vertAlign w:val="superscript"/>
        </w:rPr>
        <w:footnoteReference w:id="4"/>
      </w:r>
    </w:p>
    <w:tbl>
      <w:tblPr>
        <w:tblStyle w:val="af"/>
        <w:tblW w:w="7795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1912"/>
        <w:gridCol w:w="5367"/>
      </w:tblGrid>
      <w:tr w:rsidR="00FD5507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Tworzony rejestr publiczny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Opis </w:t>
            </w:r>
          </w:p>
        </w:tc>
      </w:tr>
      <w:tr w:rsidR="00FD5507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jc w:val="both"/>
              <w:rPr>
                <w:color w:val="0070C0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ind w:left="2124"/>
              <w:jc w:val="center"/>
              <w:rPr>
                <w:color w:val="0070C0"/>
              </w:rPr>
            </w:pP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jc w:val="center"/>
              <w:rPr>
                <w:color w:val="0070C0"/>
              </w:rPr>
            </w:pPr>
          </w:p>
        </w:tc>
      </w:tr>
    </w:tbl>
    <w:p w:rsidR="00FD5507" w:rsidRDefault="00FD5507"/>
    <w:p w:rsidR="00FD5507" w:rsidRDefault="00715BA0">
      <w:pPr>
        <w:spacing w:before="120"/>
        <w:ind w:left="851"/>
        <w:jc w:val="both"/>
      </w:pPr>
      <w:r>
        <w:t xml:space="preserve">Czy nowy system będzie przetwarzał (używał, zmieniał) zawartość innych rejestrów publicznych? </w:t>
      </w:r>
    </w:p>
    <w:p w:rsidR="00FD5507" w:rsidRDefault="00715BA0">
      <w:pPr>
        <w:spacing w:before="120" w:after="120"/>
        <w:ind w:left="851"/>
        <w:jc w:val="both"/>
      </w:pPr>
      <w:r w:rsidRPr="00522A0A">
        <w:rPr>
          <w:strike/>
        </w:rPr>
        <w:t>TAK</w:t>
      </w:r>
      <w:r>
        <w:t xml:space="preserve">/NIE </w:t>
      </w:r>
      <w:r>
        <w:rPr>
          <w:vertAlign w:val="superscript"/>
        </w:rPr>
        <w:footnoteReference w:id="5"/>
      </w:r>
    </w:p>
    <w:tbl>
      <w:tblPr>
        <w:tblStyle w:val="af0"/>
        <w:tblW w:w="7654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051"/>
        <w:gridCol w:w="2542"/>
        <w:gridCol w:w="2545"/>
      </w:tblGrid>
      <w:tr w:rsidR="00FD5507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Rejestr publiczny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 xml:space="preserve">Opis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FD5507" w:rsidRDefault="00715BA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Zakres przetwarzania</w:t>
            </w:r>
          </w:p>
        </w:tc>
      </w:tr>
      <w:tr w:rsidR="00FD5507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jc w:val="both"/>
              <w:rPr>
                <w:color w:val="0070C0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ind w:left="2124"/>
              <w:jc w:val="center"/>
              <w:rPr>
                <w:color w:val="0070C0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jc w:val="center"/>
              <w:rPr>
                <w:color w:val="0070C0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507" w:rsidRDefault="00FD5507">
            <w:pPr>
              <w:spacing w:line="256" w:lineRule="auto"/>
              <w:jc w:val="center"/>
              <w:rPr>
                <w:color w:val="0070C0"/>
              </w:rPr>
            </w:pPr>
          </w:p>
        </w:tc>
      </w:tr>
    </w:tbl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FD5507" w:rsidRDefault="00715BA0" w:rsidP="00621E36">
      <w:pPr>
        <w:pStyle w:val="Nagwek2"/>
        <w:keepNext/>
        <w:numPr>
          <w:ilvl w:val="1"/>
          <w:numId w:val="18"/>
        </w:numPr>
        <w:rPr>
          <w:b w:val="0"/>
          <w:sz w:val="20"/>
          <w:szCs w:val="20"/>
        </w:rPr>
      </w:pPr>
      <w:r>
        <w:t>Bezpieczeństwo</w:t>
      </w:r>
      <w:r>
        <w:rPr>
          <w:sz w:val="20"/>
          <w:szCs w:val="20"/>
        </w:rPr>
        <w:t xml:space="preserve"> </w:t>
      </w:r>
    </w:p>
    <w:p w:rsidR="00715BA0" w:rsidRPr="00E71F03" w:rsidRDefault="00715BA0" w:rsidP="00AE5333">
      <w:pPr>
        <w:spacing w:after="120"/>
        <w:ind w:left="851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Przetwarzanie danych w systemie Digitarium będzie zapewnione na poziomie samego systemu jak i wszelkich kanałów komunikacyjnych pomiędzy systemem, a użytkownikami. Stosowane zabezpieczenia będą adekwatne lub większe od wyznaczonych obowiązującymi normami prawno - formalnymi w zakresie ochrony danych osobowych, praw autorskich, wymiany danych elektronicznych oraz warunków technicznych i organizacyjnych jakim powinny odpowiadać urządzania i systemy informatyczne służące do przetwarzania danych. System fizycznie umi</w:t>
      </w:r>
      <w:r w:rsidR="00522A0A" w:rsidRPr="00E71F03">
        <w:rPr>
          <w:sz w:val="20"/>
          <w:szCs w:val="20"/>
        </w:rPr>
        <w:t>e</w:t>
      </w:r>
      <w:r w:rsidRPr="00E71F03">
        <w:rPr>
          <w:sz w:val="20"/>
          <w:szCs w:val="20"/>
        </w:rPr>
        <w:t>szczony będzie na serwerach Poznańskiego Centrum Superkomputerowo-Sieciowego</w:t>
      </w:r>
      <w:r w:rsidR="00AE5333" w:rsidRPr="00E71F03">
        <w:rPr>
          <w:sz w:val="20"/>
          <w:szCs w:val="20"/>
        </w:rPr>
        <w:t>.</w:t>
      </w:r>
    </w:p>
    <w:p w:rsidR="00715BA0" w:rsidRPr="00E71F03" w:rsidRDefault="00715BA0" w:rsidP="00715BA0">
      <w:pPr>
        <w:spacing w:after="120"/>
        <w:ind w:left="851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Wdrożenie polityki monitorowania parametrów: obciążenia systemu wraz z aktywnymi wywołaniami portalu, działania oraz obciążenia baz danych, obciążenia obliczeniowego serwerów.</w:t>
      </w:r>
    </w:p>
    <w:p w:rsidR="00715BA0" w:rsidRPr="00E71F03" w:rsidRDefault="00715BA0" w:rsidP="00715BA0">
      <w:pPr>
        <w:spacing w:after="120"/>
        <w:ind w:left="851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Zastosowane będą techniki wirtualizacji, które pozwalają na szybkie odtwarzanie uszkodzonych komponentów systemu.</w:t>
      </w:r>
    </w:p>
    <w:p w:rsidR="00715BA0" w:rsidRPr="00E71F03" w:rsidRDefault="00715BA0" w:rsidP="00715BA0">
      <w:pPr>
        <w:spacing w:after="120"/>
        <w:ind w:left="851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Działanie zespołu administracji portalu obejmie kompleksową obsługę portalu, jego danych oraz obsługę zagrożeń.</w:t>
      </w:r>
    </w:p>
    <w:p w:rsidR="00715BA0" w:rsidRPr="00E71F03" w:rsidRDefault="00715BA0" w:rsidP="00E71F03">
      <w:pPr>
        <w:pStyle w:val="Nagwek3"/>
        <w:keepLines/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0"/>
          <w:szCs w:val="20"/>
        </w:rPr>
      </w:pPr>
      <w:bookmarkStart w:id="19" w:name="_1664s55" w:colFirst="0" w:colLast="0"/>
      <w:bookmarkEnd w:id="19"/>
      <w:r w:rsidRPr="00E71F03">
        <w:rPr>
          <w:sz w:val="20"/>
          <w:szCs w:val="20"/>
        </w:rPr>
        <w:t>Bezpieczeństwo danych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 xml:space="preserve">Dostęp do danych spełniając warunki otwartości i bezpośredniości dla użytkownika standardowego będzie nieograniczony i nie wymuszony logowaniem (tylko możliwość przeszukiwania i przeglądania zasobów). System logowania będzie dotyczyć użytkowników-autorów, którzy samodzielnie chcą dodawać lub zarządzać swoimi materiałami umieszczonymi na platformie (autorzy artykułów). Digitarium będzie zabezpieczać wszystkie dane z uwzględnieniem wymagań </w:t>
      </w:r>
      <w:r w:rsidR="00AE5333" w:rsidRPr="00E71F03">
        <w:rPr>
          <w:sz w:val="20"/>
          <w:szCs w:val="20"/>
        </w:rPr>
        <w:t>r</w:t>
      </w:r>
      <w:r w:rsidRPr="00E71F03">
        <w:rPr>
          <w:sz w:val="20"/>
          <w:szCs w:val="20"/>
          <w:highlight w:val="white"/>
        </w:rPr>
        <w:t xml:space="preserve">ozporządzenia w sprawie </w:t>
      </w:r>
      <w:r w:rsidR="00AE5333" w:rsidRPr="00E71F03">
        <w:rPr>
          <w:sz w:val="20"/>
          <w:szCs w:val="20"/>
          <w:highlight w:val="white"/>
        </w:rPr>
        <w:t>KRI</w:t>
      </w:r>
      <w:r w:rsidRPr="00E71F03">
        <w:rPr>
          <w:sz w:val="20"/>
          <w:szCs w:val="20"/>
          <w:highlight w:val="white"/>
        </w:rPr>
        <w:t>,</w:t>
      </w:r>
      <w:r w:rsidRPr="00E71F03">
        <w:rPr>
          <w:sz w:val="20"/>
          <w:szCs w:val="20"/>
        </w:rPr>
        <w:t xml:space="preserve"> minimalnych wymagań dla rejestrów publicznych i wymiany informacji w postaci elektronicznej oraz minimalnych wymagań dla systemów teleinformatycznych</w:t>
      </w:r>
      <w:r w:rsidRPr="00E71F03">
        <w:rPr>
          <w:sz w:val="20"/>
          <w:szCs w:val="20"/>
          <w:highlight w:val="white"/>
        </w:rPr>
        <w:t xml:space="preserve"> </w:t>
      </w:r>
      <w:r w:rsidRPr="00E71F03">
        <w:rPr>
          <w:sz w:val="20"/>
          <w:szCs w:val="20"/>
        </w:rPr>
        <w:t>oraz normy bezpieczeństwa systemów ISO/IEC 27001 (PN-ISO/IEC 27001) "Systemy zarządzania bezpieczeństwem informacji.”</w:t>
      </w:r>
    </w:p>
    <w:p w:rsidR="00715BA0" w:rsidRPr="00E71F03" w:rsidRDefault="00715BA0" w:rsidP="00E71F03">
      <w:pPr>
        <w:pStyle w:val="Akapitzlist"/>
        <w:numPr>
          <w:ilvl w:val="0"/>
          <w:numId w:val="13"/>
        </w:numPr>
        <w:spacing w:after="120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Bezpieczeństwo aplikacji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Ze względu na dostępność zasobów systemu w sieci publicznej będzie on chroniony niezależnym systemem bezpieczeństwa dedykowanym do ochrony aplikacji WEB z uwzględnieniem standardów bezpieczeństwa na poziomie min. OWASP TOP 10.</w:t>
      </w:r>
    </w:p>
    <w:p w:rsidR="00715BA0" w:rsidRPr="00E71F03" w:rsidRDefault="00715BA0" w:rsidP="00E71F03">
      <w:pPr>
        <w:pStyle w:val="Nagwek3"/>
        <w:keepLines/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0"/>
          <w:szCs w:val="20"/>
        </w:rPr>
      </w:pPr>
      <w:bookmarkStart w:id="20" w:name="_3q5sasy" w:colFirst="0" w:colLast="0"/>
      <w:bookmarkEnd w:id="20"/>
      <w:r w:rsidRPr="00E71F03">
        <w:rPr>
          <w:sz w:val="20"/>
          <w:szCs w:val="20"/>
        </w:rPr>
        <w:lastRenderedPageBreak/>
        <w:t>Testy bezpieczeństwa systemu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Digitarium zostanie objęt</w:t>
      </w:r>
      <w:r w:rsidR="00AE5333" w:rsidRPr="00E71F03">
        <w:rPr>
          <w:sz w:val="20"/>
          <w:szCs w:val="20"/>
        </w:rPr>
        <w:t>e</w:t>
      </w:r>
      <w:r w:rsidRPr="00E71F03">
        <w:rPr>
          <w:sz w:val="20"/>
          <w:szCs w:val="20"/>
        </w:rPr>
        <w:t xml:space="preserve"> testami penetracyjnymi i audytem bezpieczeństwa wykonanym przez specjalizującą się w tym zakresie instytucję. Analiza Systemu pod kątem bezpieczeństwa dostępu do danych przechowywanych w formie elektronicznej zostanie wykonana w oparciu o: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a.</w:t>
      </w:r>
      <w:r w:rsidRPr="00E71F03">
        <w:rPr>
          <w:sz w:val="20"/>
          <w:szCs w:val="20"/>
        </w:rPr>
        <w:tab/>
      </w:r>
      <w:r w:rsidRPr="00E71F03">
        <w:rPr>
          <w:sz w:val="20"/>
          <w:szCs w:val="20"/>
          <w:highlight w:val="white"/>
        </w:rPr>
        <w:t xml:space="preserve">Rozporządzenie w sprawie </w:t>
      </w:r>
      <w:r w:rsidR="00AE5333" w:rsidRPr="00E71F03">
        <w:rPr>
          <w:sz w:val="20"/>
          <w:szCs w:val="20"/>
          <w:highlight w:val="white"/>
        </w:rPr>
        <w:t>KRI</w:t>
      </w:r>
      <w:r w:rsidRPr="00E71F03">
        <w:rPr>
          <w:sz w:val="20"/>
          <w:szCs w:val="20"/>
        </w:rPr>
        <w:t>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b.</w:t>
      </w:r>
      <w:r w:rsidRPr="00E71F03">
        <w:rPr>
          <w:sz w:val="20"/>
          <w:szCs w:val="20"/>
        </w:rPr>
        <w:tab/>
        <w:t>Normę PN-ISO/IEC 27001:2014-12;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c.</w:t>
      </w:r>
      <w:r w:rsidRPr="00E71F03">
        <w:rPr>
          <w:sz w:val="20"/>
          <w:szCs w:val="20"/>
        </w:rPr>
        <w:tab/>
        <w:t>Normę PN-ISO/IEC 27002:2014-12;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d.</w:t>
      </w:r>
      <w:r w:rsidR="00AE5333" w:rsidRPr="00E71F03">
        <w:rPr>
          <w:sz w:val="20"/>
          <w:szCs w:val="20"/>
        </w:rPr>
        <w:tab/>
        <w:t>Normę PN-ISO/IEC 27005:2014-01;</w:t>
      </w:r>
    </w:p>
    <w:p w:rsidR="00715BA0" w:rsidRPr="00E71F03" w:rsidRDefault="00AE5333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e.</w:t>
      </w:r>
      <w:r w:rsidRPr="00E71F03">
        <w:rPr>
          <w:sz w:val="20"/>
          <w:szCs w:val="20"/>
        </w:rPr>
        <w:tab/>
        <w:t>Normę PN-ISO 31000</w:t>
      </w:r>
      <w:r w:rsidR="00715BA0" w:rsidRPr="00E71F03">
        <w:rPr>
          <w:sz w:val="20"/>
          <w:szCs w:val="20"/>
        </w:rPr>
        <w:t>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f.</w:t>
      </w:r>
      <w:r w:rsidRPr="00E71F03">
        <w:rPr>
          <w:sz w:val="20"/>
          <w:szCs w:val="20"/>
        </w:rPr>
        <w:tab/>
        <w:t>Normę PN-ISO/IEC 20000-1:2014-01;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g.</w:t>
      </w:r>
      <w:r w:rsidRPr="00E71F03">
        <w:rPr>
          <w:sz w:val="20"/>
          <w:szCs w:val="20"/>
        </w:rPr>
        <w:tab/>
        <w:t>Normę PN-ISO/IEC 20000-2:2007;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h.</w:t>
      </w:r>
      <w:r w:rsidRPr="00E71F03">
        <w:rPr>
          <w:sz w:val="20"/>
          <w:szCs w:val="20"/>
        </w:rPr>
        <w:tab/>
        <w:t>Poprawka do polskiej normy PN-ISO/IEC 20000-2:2007/Ap1:2011;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i.</w:t>
      </w:r>
      <w:r w:rsidRPr="00E71F03">
        <w:rPr>
          <w:sz w:val="20"/>
          <w:szCs w:val="20"/>
        </w:rPr>
        <w:tab/>
      </w:r>
      <w:r w:rsidR="00E71F03" w:rsidRPr="00E71F03">
        <w:rPr>
          <w:sz w:val="20"/>
          <w:szCs w:val="20"/>
        </w:rPr>
        <w:t xml:space="preserve">Ustawę z 10.05.2018 </w:t>
      </w:r>
      <w:r w:rsidR="00E71F03" w:rsidRPr="00E71F03">
        <w:rPr>
          <w:rStyle w:val="grame"/>
          <w:sz w:val="20"/>
          <w:szCs w:val="20"/>
        </w:rPr>
        <w:t>o</w:t>
      </w:r>
      <w:r w:rsidR="00E71F03" w:rsidRPr="00E71F03">
        <w:rPr>
          <w:sz w:val="20"/>
          <w:szCs w:val="20"/>
        </w:rPr>
        <w:t xml:space="preserve"> ochronie danych osobowych – Dz. U. 2018 poz. 1000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>j.</w:t>
      </w:r>
      <w:r w:rsidRPr="00E71F03">
        <w:rPr>
          <w:sz w:val="20"/>
          <w:szCs w:val="20"/>
        </w:rPr>
        <w:tab/>
        <w:t>Rozporządzenie Ministra Spraw Wewnętrznych i Administracji z dnia 29 kwietnia 2004 r. w sprawie dokumentacji przetwarzania danych osobowych oraz warunków technicznych i organizacyjnych, jakim powinny odpowiada urządzenia i systemy informatyczne służące do przetwarzania danych osobowych, Dz. U. 2004 poz. 1024;</w:t>
      </w:r>
    </w:p>
    <w:p w:rsidR="00AE5333" w:rsidRPr="00E71F03" w:rsidRDefault="00715BA0" w:rsidP="00AE5333">
      <w:pPr>
        <w:pStyle w:val="Nagwek2"/>
        <w:keepNext/>
        <w:ind w:left="851" w:firstLine="283"/>
        <w:rPr>
          <w:b w:val="0"/>
          <w:sz w:val="20"/>
          <w:szCs w:val="20"/>
          <w:highlight w:val="yellow"/>
        </w:rPr>
      </w:pPr>
      <w:bookmarkStart w:id="21" w:name="_25b2l0r" w:colFirst="0" w:colLast="0"/>
      <w:bookmarkEnd w:id="21"/>
      <w:r w:rsidRPr="00E71F03">
        <w:rPr>
          <w:b w:val="0"/>
          <w:sz w:val="20"/>
          <w:szCs w:val="20"/>
        </w:rPr>
        <w:t>k.</w:t>
      </w:r>
      <w:r w:rsidRPr="00E71F03">
        <w:rPr>
          <w:b w:val="0"/>
          <w:sz w:val="20"/>
          <w:szCs w:val="20"/>
        </w:rPr>
        <w:tab/>
        <w:t>Ustawę o informatyzacji działalności podmiotów realizujących zadania publiczne z 17 lutego 2005 r., Dz. U. 2013  poz. 235 z późniejszymi zmianami.</w:t>
      </w:r>
      <w:r w:rsidR="00AE5333" w:rsidRPr="00E71F03">
        <w:rPr>
          <w:b w:val="0"/>
          <w:sz w:val="20"/>
          <w:szCs w:val="20"/>
          <w:highlight w:val="yellow"/>
        </w:rPr>
        <w:t xml:space="preserve"> 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  <w:r w:rsidRPr="00E71F03">
        <w:rPr>
          <w:sz w:val="20"/>
          <w:szCs w:val="20"/>
        </w:rPr>
        <w:t xml:space="preserve">Testy bezpieczeństwa w projekcie są procesem ciągłym i cyklicznym, więc usuwanie ewentualnych luk bezpieczeństwa i poprawianie dokumentacji również będą wykonywane cyklicznie. </w:t>
      </w:r>
    </w:p>
    <w:p w:rsidR="00715BA0" w:rsidRPr="00E71F03" w:rsidRDefault="00715BA0" w:rsidP="00715BA0">
      <w:pPr>
        <w:spacing w:after="120"/>
        <w:ind w:left="851" w:firstLine="283"/>
        <w:jc w:val="both"/>
        <w:rPr>
          <w:sz w:val="20"/>
          <w:szCs w:val="20"/>
        </w:rPr>
      </w:pP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70C0"/>
          <w:sz w:val="22"/>
          <w:szCs w:val="22"/>
        </w:rPr>
      </w:pPr>
    </w:p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left="900" w:hanging="900"/>
        <w:rPr>
          <w:color w:val="000000"/>
        </w:rPr>
      </w:pPr>
    </w:p>
    <w:p w:rsidR="00FD5507" w:rsidRDefault="00FD5507"/>
    <w:p w:rsidR="00FD5507" w:rsidRDefault="00FD5507">
      <w:pPr>
        <w:pBdr>
          <w:top w:val="nil"/>
          <w:left w:val="nil"/>
          <w:bottom w:val="nil"/>
          <w:right w:val="nil"/>
          <w:between w:val="nil"/>
        </w:pBdr>
        <w:spacing w:after="120"/>
        <w:ind w:hanging="900"/>
        <w:rPr>
          <w:color w:val="000000"/>
        </w:rPr>
      </w:pPr>
    </w:p>
    <w:sectPr w:rsidR="00FD5507">
      <w:headerReference w:type="default" r:id="rId13"/>
      <w:footerReference w:type="default" r:id="rId14"/>
      <w:pgSz w:w="12240" w:h="15840"/>
      <w:pgMar w:top="1440" w:right="1080" w:bottom="1440" w:left="1080" w:header="720" w:footer="3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199" w:rsidRDefault="00011199">
      <w:r>
        <w:separator/>
      </w:r>
    </w:p>
  </w:endnote>
  <w:endnote w:type="continuationSeparator" w:id="0">
    <w:p w:rsidR="00011199" w:rsidRDefault="0001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DE8" w:rsidRDefault="00FC3DE8">
    <w:pPr>
      <w:pBdr>
        <w:top w:val="nil"/>
        <w:left w:val="nil"/>
        <w:bottom w:val="nil"/>
        <w:right w:val="nil"/>
        <w:between w:val="nil"/>
      </w:pBdr>
      <w:tabs>
        <w:tab w:val="center" w:pos="4435"/>
        <w:tab w:val="right" w:pos="8870"/>
      </w:tabs>
      <w:spacing w:after="240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Strona |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32184">
      <w:rPr>
        <w:noProof/>
        <w:color w:val="000000"/>
        <w:sz w:val="20"/>
        <w:szCs w:val="20"/>
      </w:rPr>
      <w:t>15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199" w:rsidRDefault="00011199">
      <w:r>
        <w:separator/>
      </w:r>
    </w:p>
  </w:footnote>
  <w:footnote w:type="continuationSeparator" w:id="0">
    <w:p w:rsidR="00011199" w:rsidRDefault="00011199">
      <w:r>
        <w:continuationSeparator/>
      </w:r>
    </w:p>
  </w:footnote>
  <w:footnote w:id="1">
    <w:p w:rsidR="00FC3DE8" w:rsidRDefault="00FC3DE8">
      <w:pPr>
        <w:jc w:val="both"/>
      </w:pPr>
      <w:r>
        <w:rPr>
          <w:vertAlign w:val="superscript"/>
        </w:rPr>
        <w:footnoteRef/>
      </w:r>
      <w:r>
        <w:rPr>
          <w:sz w:val="18"/>
          <w:szCs w:val="18"/>
        </w:rPr>
        <w:t xml:space="preserve">  Pięciostopniowa e-dojrzałość usług określona w badaniach „Digitizing Public Services in Europe: Putting ambition into action”, prowadzonych na zlecenie KE przez firmę Cap Gemini.</w:t>
      </w:r>
    </w:p>
  </w:footnote>
  <w:footnote w:id="2">
    <w:p w:rsidR="00FC3DE8" w:rsidRDefault="00FC3DE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Niepotrzebne skreślić. </w:t>
      </w:r>
    </w:p>
  </w:footnote>
  <w:footnote w:id="3">
    <w:p w:rsidR="00FC3DE8" w:rsidRDefault="00FC3DE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Niepotrzebne skreślić</w:t>
      </w:r>
    </w:p>
  </w:footnote>
  <w:footnote w:id="4">
    <w:p w:rsidR="00FC3DE8" w:rsidRDefault="00FC3DE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Niepotrzebne skreślić.</w:t>
      </w:r>
    </w:p>
  </w:footnote>
  <w:footnote w:id="5">
    <w:p w:rsidR="00FC3DE8" w:rsidRDefault="00FC3DE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DE8" w:rsidRDefault="00FC3DE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jc w:val="center"/>
      <w:rPr>
        <w:i/>
        <w:color w:val="0070C0"/>
        <w:sz w:val="18"/>
        <w:szCs w:val="18"/>
      </w:rPr>
    </w:pPr>
    <w:r>
      <w:rPr>
        <w:color w:val="000000"/>
        <w:sz w:val="18"/>
        <w:szCs w:val="18"/>
      </w:rPr>
      <w:t xml:space="preserve">OPIS ZAŁOŻEŃ PROJEKTU INFORMATYCZNEGO </w:t>
    </w:r>
  </w:p>
  <w:p w:rsidR="00FC3DE8" w:rsidRDefault="00FC3DE8">
    <w:pPr>
      <w:jc w:val="center"/>
      <w:rPr>
        <w:sz w:val="20"/>
        <w:szCs w:val="20"/>
      </w:rPr>
    </w:pPr>
    <w:r>
      <w:rPr>
        <w:b/>
        <w:highlight w:val="white"/>
      </w:rPr>
      <w:t>Digitalizacja i integracja zasobów nauki w ramach wspólnej platformy repozytoryjnej instytutów badawczych - Digitarium Instytutów Badawczych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677"/>
    <w:multiLevelType w:val="multilevel"/>
    <w:tmpl w:val="428EBF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>
    <w:nsid w:val="19686B1B"/>
    <w:multiLevelType w:val="multilevel"/>
    <w:tmpl w:val="5E94EDB6"/>
    <w:lvl w:ilvl="0">
      <w:start w:val="1"/>
      <w:numFmt w:val="decimal"/>
      <w:lvlText w:val="%1)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">
    <w:nsid w:val="21C53E51"/>
    <w:multiLevelType w:val="multilevel"/>
    <w:tmpl w:val="E56C112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3">
    <w:nsid w:val="2C5620B4"/>
    <w:multiLevelType w:val="multilevel"/>
    <w:tmpl w:val="ACC6A1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">
    <w:nsid w:val="33E939F1"/>
    <w:multiLevelType w:val="multilevel"/>
    <w:tmpl w:val="345E88B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C1B104A"/>
    <w:multiLevelType w:val="multilevel"/>
    <w:tmpl w:val="38347894"/>
    <w:lvl w:ilvl="0">
      <w:start w:val="1"/>
      <w:numFmt w:val="decimal"/>
      <w:lvlText w:val="%1."/>
      <w:lvlJc w:val="left"/>
      <w:pPr>
        <w:ind w:left="786" w:firstLine="1211"/>
      </w:pPr>
      <w:rPr>
        <w:rFonts w:ascii="Arial" w:eastAsia="Arial" w:hAnsi="Arial" w:cs="Arial"/>
      </w:rPr>
    </w:lvl>
    <w:lvl w:ilvl="1">
      <w:start w:val="1"/>
      <w:numFmt w:val="decimal"/>
      <w:lvlText w:val="%1.%2"/>
      <w:lvlJc w:val="left"/>
      <w:pPr>
        <w:ind w:left="710" w:firstLine="71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●"/>
      <w:lvlJc w:val="left"/>
      <w:pPr>
        <w:ind w:left="2204" w:firstLine="4048"/>
      </w:pPr>
      <w:rPr>
        <w:rFonts w:ascii="Arial" w:eastAsia="Arial" w:hAnsi="Arial" w:cs="Arial"/>
        <w:sz w:val="28"/>
        <w:szCs w:val="28"/>
      </w:rPr>
    </w:lvl>
    <w:lvl w:ilvl="3">
      <w:start w:val="1"/>
      <w:numFmt w:val="decimal"/>
      <w:lvlText w:val="%1.%2.●.%4"/>
      <w:lvlJc w:val="left"/>
      <w:pPr>
        <w:ind w:left="1866" w:firstLine="3372"/>
      </w:pPr>
      <w:rPr>
        <w:rFonts w:ascii="Arial" w:eastAsia="Arial" w:hAnsi="Arial" w:cs="Arial"/>
      </w:rPr>
    </w:lvl>
    <w:lvl w:ilvl="4">
      <w:start w:val="1"/>
      <w:numFmt w:val="decimal"/>
      <w:lvlText w:val="%1.%2.●.%4.%5"/>
      <w:lvlJc w:val="left"/>
      <w:pPr>
        <w:ind w:left="2226" w:firstLine="4092"/>
      </w:pPr>
      <w:rPr>
        <w:rFonts w:ascii="Arial" w:eastAsia="Arial" w:hAnsi="Arial" w:cs="Arial"/>
      </w:rPr>
    </w:lvl>
    <w:lvl w:ilvl="5">
      <w:start w:val="1"/>
      <w:numFmt w:val="decimal"/>
      <w:lvlText w:val="%1.%2.●.%4.%5.%6"/>
      <w:lvlJc w:val="left"/>
      <w:pPr>
        <w:ind w:left="2586" w:firstLine="4812"/>
      </w:pPr>
      <w:rPr>
        <w:rFonts w:ascii="Arial" w:eastAsia="Arial" w:hAnsi="Arial" w:cs="Arial"/>
      </w:rPr>
    </w:lvl>
    <w:lvl w:ilvl="6">
      <w:start w:val="1"/>
      <w:numFmt w:val="decimal"/>
      <w:lvlText w:val="%1.%2.●.%4.%5.%6.%7"/>
      <w:lvlJc w:val="left"/>
      <w:pPr>
        <w:ind w:left="2946" w:firstLine="5532"/>
      </w:pPr>
      <w:rPr>
        <w:rFonts w:ascii="Arial" w:eastAsia="Arial" w:hAnsi="Arial" w:cs="Arial"/>
      </w:rPr>
    </w:lvl>
    <w:lvl w:ilvl="7">
      <w:start w:val="1"/>
      <w:numFmt w:val="decimal"/>
      <w:lvlText w:val="%1.%2.●.%4.%5.%6.%7.%8"/>
      <w:lvlJc w:val="left"/>
      <w:pPr>
        <w:ind w:left="3306" w:firstLine="6252"/>
      </w:pPr>
      <w:rPr>
        <w:rFonts w:ascii="Arial" w:eastAsia="Arial" w:hAnsi="Arial" w:cs="Arial"/>
      </w:rPr>
    </w:lvl>
    <w:lvl w:ilvl="8">
      <w:start w:val="1"/>
      <w:numFmt w:val="decimal"/>
      <w:lvlText w:val="%1.%2.●.%4.%5.%6.%7.%8.%9"/>
      <w:lvlJc w:val="left"/>
      <w:pPr>
        <w:ind w:left="3666" w:firstLine="6972"/>
      </w:pPr>
      <w:rPr>
        <w:rFonts w:ascii="Arial" w:eastAsia="Arial" w:hAnsi="Arial" w:cs="Arial"/>
      </w:rPr>
    </w:lvl>
  </w:abstractNum>
  <w:abstractNum w:abstractNumId="6">
    <w:nsid w:val="3E754AE0"/>
    <w:multiLevelType w:val="multilevel"/>
    <w:tmpl w:val="53AEA15C"/>
    <w:lvl w:ilvl="0">
      <w:start w:val="1"/>
      <w:numFmt w:val="decimal"/>
      <w:lvlText w:val="%1."/>
      <w:lvlJc w:val="left"/>
      <w:pPr>
        <w:ind w:left="786" w:firstLine="1211"/>
      </w:pPr>
      <w:rPr>
        <w:rFonts w:ascii="Arial" w:eastAsia="Arial" w:hAnsi="Arial" w:cs="Arial"/>
      </w:rPr>
    </w:lvl>
    <w:lvl w:ilvl="1">
      <w:start w:val="1"/>
      <w:numFmt w:val="decimal"/>
      <w:lvlText w:val="%1.%2"/>
      <w:lvlJc w:val="left"/>
      <w:pPr>
        <w:ind w:left="710" w:firstLine="71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●"/>
      <w:lvlJc w:val="left"/>
      <w:pPr>
        <w:ind w:left="2204" w:firstLine="4048"/>
      </w:pPr>
      <w:rPr>
        <w:rFonts w:ascii="Arial" w:eastAsia="Arial" w:hAnsi="Arial" w:cs="Arial"/>
        <w:sz w:val="28"/>
        <w:szCs w:val="28"/>
      </w:rPr>
    </w:lvl>
    <w:lvl w:ilvl="3">
      <w:start w:val="1"/>
      <w:numFmt w:val="decimal"/>
      <w:lvlText w:val="%1.%2.●.%4"/>
      <w:lvlJc w:val="left"/>
      <w:pPr>
        <w:ind w:left="1866" w:firstLine="3372"/>
      </w:pPr>
      <w:rPr>
        <w:rFonts w:ascii="Arial" w:eastAsia="Arial" w:hAnsi="Arial" w:cs="Arial"/>
      </w:rPr>
    </w:lvl>
    <w:lvl w:ilvl="4">
      <w:start w:val="1"/>
      <w:numFmt w:val="decimal"/>
      <w:lvlText w:val="%1.%2.●.%4.%5"/>
      <w:lvlJc w:val="left"/>
      <w:pPr>
        <w:ind w:left="2226" w:firstLine="4092"/>
      </w:pPr>
      <w:rPr>
        <w:rFonts w:ascii="Arial" w:eastAsia="Arial" w:hAnsi="Arial" w:cs="Arial"/>
      </w:rPr>
    </w:lvl>
    <w:lvl w:ilvl="5">
      <w:start w:val="1"/>
      <w:numFmt w:val="decimal"/>
      <w:lvlText w:val="%1.%2.●.%4.%5.%6"/>
      <w:lvlJc w:val="left"/>
      <w:pPr>
        <w:ind w:left="2586" w:firstLine="4812"/>
      </w:pPr>
      <w:rPr>
        <w:rFonts w:ascii="Arial" w:eastAsia="Arial" w:hAnsi="Arial" w:cs="Arial"/>
      </w:rPr>
    </w:lvl>
    <w:lvl w:ilvl="6">
      <w:start w:val="1"/>
      <w:numFmt w:val="decimal"/>
      <w:lvlText w:val="%1.%2.●.%4.%5.%6.%7"/>
      <w:lvlJc w:val="left"/>
      <w:pPr>
        <w:ind w:left="2946" w:firstLine="5532"/>
      </w:pPr>
      <w:rPr>
        <w:rFonts w:ascii="Arial" w:eastAsia="Arial" w:hAnsi="Arial" w:cs="Arial"/>
      </w:rPr>
    </w:lvl>
    <w:lvl w:ilvl="7">
      <w:start w:val="1"/>
      <w:numFmt w:val="decimal"/>
      <w:lvlText w:val="%1.%2.●.%4.%5.%6.%7.%8"/>
      <w:lvlJc w:val="left"/>
      <w:pPr>
        <w:ind w:left="3306" w:firstLine="6252"/>
      </w:pPr>
      <w:rPr>
        <w:rFonts w:ascii="Arial" w:eastAsia="Arial" w:hAnsi="Arial" w:cs="Arial"/>
      </w:rPr>
    </w:lvl>
    <w:lvl w:ilvl="8">
      <w:start w:val="1"/>
      <w:numFmt w:val="decimal"/>
      <w:lvlText w:val="%1.%2.●.%4.%5.%6.%7.%8.%9"/>
      <w:lvlJc w:val="left"/>
      <w:pPr>
        <w:ind w:left="3666" w:firstLine="6972"/>
      </w:pPr>
      <w:rPr>
        <w:rFonts w:ascii="Arial" w:eastAsia="Arial" w:hAnsi="Arial" w:cs="Arial"/>
      </w:rPr>
    </w:lvl>
  </w:abstractNum>
  <w:abstractNum w:abstractNumId="7">
    <w:nsid w:val="42F03265"/>
    <w:multiLevelType w:val="multilevel"/>
    <w:tmpl w:val="22FC8A48"/>
    <w:lvl w:ilvl="0">
      <w:start w:val="1"/>
      <w:numFmt w:val="decimal"/>
      <w:lvlText w:val="%1."/>
      <w:lvlJc w:val="left"/>
      <w:pPr>
        <w:ind w:left="786" w:firstLine="1211"/>
      </w:pPr>
      <w:rPr>
        <w:rFonts w:ascii="Arial" w:eastAsia="Arial" w:hAnsi="Arial" w:cs="Arial"/>
      </w:rPr>
    </w:lvl>
    <w:lvl w:ilvl="1">
      <w:start w:val="1"/>
      <w:numFmt w:val="decimal"/>
      <w:lvlText w:val="%1.%2"/>
      <w:lvlJc w:val="left"/>
      <w:pPr>
        <w:ind w:left="710" w:firstLine="710"/>
      </w:pPr>
      <w:rPr>
        <w:rFonts w:ascii="Arial" w:eastAsia="Arial" w:hAnsi="Arial" w:cs="Arial"/>
        <w:color w:val="000000"/>
      </w:rPr>
    </w:lvl>
    <w:lvl w:ilvl="2">
      <w:start w:val="1"/>
      <w:numFmt w:val="bullet"/>
      <w:lvlText w:val="●"/>
      <w:lvlJc w:val="left"/>
      <w:pPr>
        <w:ind w:left="2204" w:firstLine="4048"/>
      </w:pPr>
      <w:rPr>
        <w:rFonts w:ascii="Arial" w:eastAsia="Arial" w:hAnsi="Arial" w:cs="Arial"/>
        <w:sz w:val="28"/>
        <w:szCs w:val="28"/>
      </w:rPr>
    </w:lvl>
    <w:lvl w:ilvl="3">
      <w:start w:val="1"/>
      <w:numFmt w:val="decimal"/>
      <w:lvlText w:val="%1.%2.●.%4"/>
      <w:lvlJc w:val="left"/>
      <w:pPr>
        <w:ind w:left="1866" w:firstLine="3372"/>
      </w:pPr>
      <w:rPr>
        <w:rFonts w:ascii="Arial" w:eastAsia="Arial" w:hAnsi="Arial" w:cs="Arial"/>
      </w:rPr>
    </w:lvl>
    <w:lvl w:ilvl="4">
      <w:start w:val="1"/>
      <w:numFmt w:val="decimal"/>
      <w:lvlText w:val="%1.%2.●.%4.%5"/>
      <w:lvlJc w:val="left"/>
      <w:pPr>
        <w:ind w:left="2226" w:firstLine="4092"/>
      </w:pPr>
      <w:rPr>
        <w:rFonts w:ascii="Arial" w:eastAsia="Arial" w:hAnsi="Arial" w:cs="Arial"/>
      </w:rPr>
    </w:lvl>
    <w:lvl w:ilvl="5">
      <w:start w:val="1"/>
      <w:numFmt w:val="decimal"/>
      <w:lvlText w:val="%1.%2.●.%4.%5.%6"/>
      <w:lvlJc w:val="left"/>
      <w:pPr>
        <w:ind w:left="2586" w:firstLine="4812"/>
      </w:pPr>
      <w:rPr>
        <w:rFonts w:ascii="Arial" w:eastAsia="Arial" w:hAnsi="Arial" w:cs="Arial"/>
      </w:rPr>
    </w:lvl>
    <w:lvl w:ilvl="6">
      <w:start w:val="1"/>
      <w:numFmt w:val="decimal"/>
      <w:lvlText w:val="%1.%2.●.%4.%5.%6.%7"/>
      <w:lvlJc w:val="left"/>
      <w:pPr>
        <w:ind w:left="2946" w:firstLine="5532"/>
      </w:pPr>
      <w:rPr>
        <w:rFonts w:ascii="Arial" w:eastAsia="Arial" w:hAnsi="Arial" w:cs="Arial"/>
      </w:rPr>
    </w:lvl>
    <w:lvl w:ilvl="7">
      <w:start w:val="1"/>
      <w:numFmt w:val="decimal"/>
      <w:lvlText w:val="%1.%2.●.%4.%5.%6.%7.%8"/>
      <w:lvlJc w:val="left"/>
      <w:pPr>
        <w:ind w:left="3306" w:firstLine="6252"/>
      </w:pPr>
      <w:rPr>
        <w:rFonts w:ascii="Arial" w:eastAsia="Arial" w:hAnsi="Arial" w:cs="Arial"/>
      </w:rPr>
    </w:lvl>
    <w:lvl w:ilvl="8">
      <w:start w:val="1"/>
      <w:numFmt w:val="decimal"/>
      <w:lvlText w:val="%1.%2.●.%4.%5.%6.%7.%8.%9"/>
      <w:lvlJc w:val="left"/>
      <w:pPr>
        <w:ind w:left="3666" w:firstLine="6972"/>
      </w:pPr>
      <w:rPr>
        <w:rFonts w:ascii="Arial" w:eastAsia="Arial" w:hAnsi="Arial" w:cs="Arial"/>
      </w:rPr>
    </w:lvl>
  </w:abstractNum>
  <w:abstractNum w:abstractNumId="8">
    <w:nsid w:val="44F6528F"/>
    <w:multiLevelType w:val="multilevel"/>
    <w:tmpl w:val="0336966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  <w:rPr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7012CF4"/>
    <w:multiLevelType w:val="multilevel"/>
    <w:tmpl w:val="ACCA5520"/>
    <w:lvl w:ilvl="0">
      <w:start w:val="1"/>
      <w:numFmt w:val="bullet"/>
      <w:lvlText w:val="●"/>
      <w:lvlJc w:val="left"/>
      <w:pPr>
        <w:ind w:left="16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C104415"/>
    <w:multiLevelType w:val="multilevel"/>
    <w:tmpl w:val="4380F29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EB70DCE"/>
    <w:multiLevelType w:val="multilevel"/>
    <w:tmpl w:val="7C8CA678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2">
    <w:nsid w:val="4F9B27CD"/>
    <w:multiLevelType w:val="hybridMultilevel"/>
    <w:tmpl w:val="0C54433C"/>
    <w:lvl w:ilvl="0" w:tplc="0302B98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770B8"/>
    <w:multiLevelType w:val="multilevel"/>
    <w:tmpl w:val="24C620EC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4">
    <w:nsid w:val="6A4055B8"/>
    <w:multiLevelType w:val="multilevel"/>
    <w:tmpl w:val="99E463B8"/>
    <w:lvl w:ilvl="0">
      <w:start w:val="1"/>
      <w:numFmt w:val="decimal"/>
      <w:lvlText w:val="%1."/>
      <w:lvlJc w:val="left"/>
      <w:pPr>
        <w:ind w:left="786" w:hanging="360"/>
      </w:pPr>
      <w:rPr>
        <w:rFonts w:ascii="Arial" w:eastAsia="Arial" w:hAnsi="Arial" w:cs="Arial"/>
      </w:rPr>
    </w:lvl>
    <w:lvl w:ilvl="1">
      <w:start w:val="1"/>
      <w:numFmt w:val="decimal"/>
      <w:lvlText w:val="%1.%2"/>
      <w:lvlJc w:val="left"/>
      <w:pPr>
        <w:ind w:left="710" w:firstLine="0"/>
      </w:pPr>
      <w:rPr>
        <w:rFonts w:ascii="Arial" w:eastAsia="Arial" w:hAnsi="Arial" w:cs="Arial"/>
        <w:color w:val="000000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eastAsia="Arial" w:hAnsi="Arial" w:cs="Arial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eastAsia="Arial" w:hAnsi="Arial" w:cs="Arial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eastAsia="Arial" w:hAnsi="Arial" w:cs="Arial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eastAsia="Arial" w:hAnsi="Arial" w:cs="Arial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eastAsia="Arial" w:hAnsi="Arial" w:cs="Arial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eastAsia="Arial" w:hAnsi="Arial" w:cs="Arial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eastAsia="Arial" w:hAnsi="Arial" w:cs="Arial"/>
      </w:rPr>
    </w:lvl>
  </w:abstractNum>
  <w:abstractNum w:abstractNumId="15">
    <w:nsid w:val="744416D2"/>
    <w:multiLevelType w:val="multilevel"/>
    <w:tmpl w:val="6CD6E4F0"/>
    <w:lvl w:ilvl="0">
      <w:start w:val="10"/>
      <w:numFmt w:val="decimal"/>
      <w:lvlText w:val="%1"/>
      <w:lvlJc w:val="left"/>
      <w:pPr>
        <w:ind w:left="465" w:hanging="465"/>
      </w:pPr>
    </w:lvl>
    <w:lvl w:ilvl="1">
      <w:start w:val="1"/>
      <w:numFmt w:val="decimal"/>
      <w:lvlText w:val="%1.%2"/>
      <w:lvlJc w:val="left"/>
      <w:pPr>
        <w:ind w:left="1175" w:hanging="465"/>
      </w:pPr>
    </w:lvl>
    <w:lvl w:ilvl="2">
      <w:start w:val="1"/>
      <w:numFmt w:val="decimal"/>
      <w:lvlText w:val="%1.%2.%3"/>
      <w:lvlJc w:val="left"/>
      <w:pPr>
        <w:ind w:left="2140" w:hanging="720"/>
      </w:pPr>
    </w:lvl>
    <w:lvl w:ilvl="3">
      <w:start w:val="1"/>
      <w:numFmt w:val="decimal"/>
      <w:lvlText w:val="%1.%2.%3.%4"/>
      <w:lvlJc w:val="left"/>
      <w:pPr>
        <w:ind w:left="3210" w:hanging="1080"/>
      </w:pPr>
    </w:lvl>
    <w:lvl w:ilvl="4">
      <w:start w:val="1"/>
      <w:numFmt w:val="decimal"/>
      <w:lvlText w:val="%1.%2.%3.%4.%5"/>
      <w:lvlJc w:val="left"/>
      <w:pPr>
        <w:ind w:left="3920" w:hanging="1080"/>
      </w:pPr>
    </w:lvl>
    <w:lvl w:ilvl="5">
      <w:start w:val="1"/>
      <w:numFmt w:val="decimal"/>
      <w:lvlText w:val="%1.%2.%3.%4.%5.%6"/>
      <w:lvlJc w:val="left"/>
      <w:pPr>
        <w:ind w:left="4990" w:hanging="1440"/>
      </w:pPr>
    </w:lvl>
    <w:lvl w:ilvl="6">
      <w:start w:val="1"/>
      <w:numFmt w:val="decimal"/>
      <w:lvlText w:val="%1.%2.%3.%4.%5.%6.%7"/>
      <w:lvlJc w:val="left"/>
      <w:pPr>
        <w:ind w:left="5700" w:hanging="1440"/>
      </w:pPr>
    </w:lvl>
    <w:lvl w:ilvl="7">
      <w:start w:val="1"/>
      <w:numFmt w:val="decimal"/>
      <w:lvlText w:val="%1.%2.%3.%4.%5.%6.%7.%8"/>
      <w:lvlJc w:val="left"/>
      <w:pPr>
        <w:ind w:left="6770" w:hanging="1800"/>
      </w:pPr>
    </w:lvl>
    <w:lvl w:ilvl="8">
      <w:start w:val="1"/>
      <w:numFmt w:val="decimal"/>
      <w:lvlText w:val="%1.%2.%3.%4.%5.%6.%7.%8.%9"/>
      <w:lvlJc w:val="left"/>
      <w:pPr>
        <w:ind w:left="7480" w:hanging="1800"/>
      </w:pPr>
    </w:lvl>
  </w:abstractNum>
  <w:abstractNum w:abstractNumId="16">
    <w:nsid w:val="75A4596E"/>
    <w:multiLevelType w:val="multilevel"/>
    <w:tmpl w:val="18DC18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176F55"/>
    <w:multiLevelType w:val="multilevel"/>
    <w:tmpl w:val="AD587FD4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797" w:hanging="360"/>
      </w:pPr>
    </w:lvl>
    <w:lvl w:ilvl="2">
      <w:start w:val="1"/>
      <w:numFmt w:val="lowerRoman"/>
      <w:lvlText w:val="%3."/>
      <w:lvlJc w:val="right"/>
      <w:pPr>
        <w:ind w:left="1517" w:hanging="180"/>
      </w:pPr>
    </w:lvl>
    <w:lvl w:ilvl="3">
      <w:start w:val="1"/>
      <w:numFmt w:val="decimal"/>
      <w:lvlText w:val="%4."/>
      <w:lvlJc w:val="left"/>
      <w:pPr>
        <w:ind w:left="2237" w:hanging="360"/>
      </w:pPr>
    </w:lvl>
    <w:lvl w:ilvl="4">
      <w:start w:val="1"/>
      <w:numFmt w:val="lowerLetter"/>
      <w:lvlText w:val="%5."/>
      <w:lvlJc w:val="left"/>
      <w:pPr>
        <w:ind w:left="2957" w:hanging="360"/>
      </w:pPr>
    </w:lvl>
    <w:lvl w:ilvl="5">
      <w:start w:val="1"/>
      <w:numFmt w:val="lowerRoman"/>
      <w:lvlText w:val="%6."/>
      <w:lvlJc w:val="right"/>
      <w:pPr>
        <w:ind w:left="3677" w:hanging="180"/>
      </w:pPr>
    </w:lvl>
    <w:lvl w:ilvl="6">
      <w:start w:val="1"/>
      <w:numFmt w:val="decimal"/>
      <w:lvlText w:val="%7."/>
      <w:lvlJc w:val="left"/>
      <w:pPr>
        <w:ind w:left="4397" w:hanging="360"/>
      </w:pPr>
    </w:lvl>
    <w:lvl w:ilvl="7">
      <w:start w:val="1"/>
      <w:numFmt w:val="lowerLetter"/>
      <w:lvlText w:val="%8."/>
      <w:lvlJc w:val="left"/>
      <w:pPr>
        <w:ind w:left="5117" w:hanging="360"/>
      </w:pPr>
    </w:lvl>
    <w:lvl w:ilvl="8">
      <w:start w:val="1"/>
      <w:numFmt w:val="lowerRoman"/>
      <w:lvlText w:val="%9."/>
      <w:lvlJc w:val="right"/>
      <w:pPr>
        <w:ind w:left="5837" w:hanging="180"/>
      </w:pPr>
    </w:lvl>
  </w:abstractNum>
  <w:abstractNum w:abstractNumId="18">
    <w:nsid w:val="7C175106"/>
    <w:multiLevelType w:val="multilevel"/>
    <w:tmpl w:val="3F447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8A004A"/>
    <w:multiLevelType w:val="hybridMultilevel"/>
    <w:tmpl w:val="F0B8603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>
    <w:nsid w:val="7FE702DE"/>
    <w:multiLevelType w:val="multilevel"/>
    <w:tmpl w:val="56148FE0"/>
    <w:lvl w:ilvl="0">
      <w:start w:val="6"/>
      <w:numFmt w:val="decimal"/>
      <w:lvlText w:val="%1."/>
      <w:lvlJc w:val="left"/>
      <w:pPr>
        <w:ind w:left="786" w:hanging="360"/>
      </w:pPr>
      <w:rPr>
        <w:rFonts w:ascii="Arial" w:eastAsia="Arial" w:hAnsi="Arial" w:cs="Arial"/>
      </w:rPr>
    </w:lvl>
    <w:lvl w:ilvl="1">
      <w:start w:val="3"/>
      <w:numFmt w:val="decimal"/>
      <w:lvlText w:val="%1.%2"/>
      <w:lvlJc w:val="left"/>
      <w:pPr>
        <w:ind w:left="710" w:firstLine="0"/>
      </w:pPr>
      <w:rPr>
        <w:rFonts w:ascii="Arial" w:eastAsia="Arial" w:hAnsi="Arial" w:cs="Arial"/>
        <w:color w:val="000000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eastAsia="Arial" w:hAnsi="Arial" w:cs="Arial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eastAsia="Arial" w:hAnsi="Arial" w:cs="Arial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eastAsia="Arial" w:hAnsi="Arial" w:cs="Arial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eastAsia="Arial" w:hAnsi="Arial" w:cs="Arial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eastAsia="Arial" w:hAnsi="Arial" w:cs="Arial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eastAsia="Arial" w:hAnsi="Arial" w:cs="Arial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10"/>
  </w:num>
  <w:num w:numId="5">
    <w:abstractNumId w:val="14"/>
  </w:num>
  <w:num w:numId="6">
    <w:abstractNumId w:val="20"/>
  </w:num>
  <w:num w:numId="7">
    <w:abstractNumId w:val="17"/>
  </w:num>
  <w:num w:numId="8">
    <w:abstractNumId w:val="4"/>
  </w:num>
  <w:num w:numId="9">
    <w:abstractNumId w:val="9"/>
  </w:num>
  <w:num w:numId="10">
    <w:abstractNumId w:val="5"/>
  </w:num>
  <w:num w:numId="11">
    <w:abstractNumId w:val="7"/>
  </w:num>
  <w:num w:numId="12">
    <w:abstractNumId w:val="6"/>
  </w:num>
  <w:num w:numId="13">
    <w:abstractNumId w:val="19"/>
  </w:num>
  <w:num w:numId="14">
    <w:abstractNumId w:val="16"/>
    <w:lvlOverride w:ilvl="1">
      <w:lvl w:ilvl="1">
        <w:numFmt w:val="decimal"/>
        <w:lvlText w:val="%2."/>
        <w:lvlJc w:val="left"/>
      </w:lvl>
    </w:lvlOverride>
  </w:num>
  <w:num w:numId="15">
    <w:abstractNumId w:val="2"/>
  </w:num>
  <w:num w:numId="16">
    <w:abstractNumId w:val="12"/>
  </w:num>
  <w:num w:numId="17">
    <w:abstractNumId w:val="3"/>
  </w:num>
  <w:num w:numId="18">
    <w:abstractNumId w:val="0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D5507"/>
    <w:rsid w:val="00011199"/>
    <w:rsid w:val="00061C9E"/>
    <w:rsid w:val="00071205"/>
    <w:rsid w:val="000905AF"/>
    <w:rsid w:val="000944C0"/>
    <w:rsid w:val="000E2248"/>
    <w:rsid w:val="00114C22"/>
    <w:rsid w:val="001E0A37"/>
    <w:rsid w:val="002D6075"/>
    <w:rsid w:val="0034295F"/>
    <w:rsid w:val="00380431"/>
    <w:rsid w:val="003B2C93"/>
    <w:rsid w:val="00432184"/>
    <w:rsid w:val="00444E3B"/>
    <w:rsid w:val="004E6F44"/>
    <w:rsid w:val="00515653"/>
    <w:rsid w:val="00522A0A"/>
    <w:rsid w:val="00532687"/>
    <w:rsid w:val="00573874"/>
    <w:rsid w:val="005B2322"/>
    <w:rsid w:val="00621E36"/>
    <w:rsid w:val="00692EC0"/>
    <w:rsid w:val="006A5785"/>
    <w:rsid w:val="006B0C6D"/>
    <w:rsid w:val="00704F25"/>
    <w:rsid w:val="00715BA0"/>
    <w:rsid w:val="007C6709"/>
    <w:rsid w:val="0080165E"/>
    <w:rsid w:val="00830030"/>
    <w:rsid w:val="008B1D54"/>
    <w:rsid w:val="00940CE6"/>
    <w:rsid w:val="009D2EB2"/>
    <w:rsid w:val="00A0351F"/>
    <w:rsid w:val="00A20081"/>
    <w:rsid w:val="00AA3217"/>
    <w:rsid w:val="00AE5333"/>
    <w:rsid w:val="00B52AB4"/>
    <w:rsid w:val="00BE7520"/>
    <w:rsid w:val="00C32723"/>
    <w:rsid w:val="00C7017C"/>
    <w:rsid w:val="00CB2136"/>
    <w:rsid w:val="00E07C7F"/>
    <w:rsid w:val="00E258B2"/>
    <w:rsid w:val="00E32F86"/>
    <w:rsid w:val="00E71F03"/>
    <w:rsid w:val="00E76858"/>
    <w:rsid w:val="00E97E4B"/>
    <w:rsid w:val="00F1516B"/>
    <w:rsid w:val="00F57592"/>
    <w:rsid w:val="00FC2C25"/>
    <w:rsid w:val="00FC3DE8"/>
    <w:rsid w:val="00FC7930"/>
    <w:rsid w:val="00FD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pBdr>
        <w:top w:val="nil"/>
        <w:left w:val="nil"/>
        <w:bottom w:val="nil"/>
        <w:right w:val="nil"/>
        <w:between w:val="nil"/>
      </w:pBdr>
      <w:spacing w:before="360" w:after="120"/>
      <w:ind w:left="360" w:hanging="360"/>
      <w:outlineLvl w:val="0"/>
    </w:pPr>
    <w:rPr>
      <w:b/>
      <w:smallCaps/>
      <w:color w:val="000000"/>
    </w:rPr>
  </w:style>
  <w:style w:type="paragraph" w:styleId="Nagwek2">
    <w:name w:val="heading 2"/>
    <w:basedOn w:val="Normalny"/>
    <w:next w:val="Normalny"/>
    <w:pPr>
      <w:pBdr>
        <w:top w:val="nil"/>
        <w:left w:val="nil"/>
        <w:bottom w:val="nil"/>
        <w:right w:val="nil"/>
        <w:between w:val="nil"/>
      </w:pBdr>
      <w:spacing w:before="120" w:after="120"/>
      <w:ind w:left="792" w:right="170" w:hanging="432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1800"/>
      </w:tabs>
      <w:spacing w:before="120" w:after="120"/>
      <w:ind w:left="1506" w:right="170" w:hanging="504"/>
      <w:outlineLvl w:val="2"/>
    </w:pPr>
    <w:rPr>
      <w:color w:val="000000"/>
    </w:rPr>
  </w:style>
  <w:style w:type="paragraph" w:styleId="Nagwek4">
    <w:name w:val="heading 4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2610"/>
      </w:tabs>
      <w:spacing w:before="120" w:after="120"/>
      <w:ind w:left="1728" w:right="170" w:hanging="648"/>
      <w:outlineLvl w:val="3"/>
    </w:pPr>
    <w:rPr>
      <w:color w:val="000000"/>
    </w:rPr>
  </w:style>
  <w:style w:type="paragraph" w:styleId="Nagwek5">
    <w:name w:val="heading 5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3690"/>
      </w:tabs>
      <w:spacing w:before="120" w:after="120"/>
      <w:ind w:left="2232" w:right="170" w:hanging="791"/>
      <w:outlineLvl w:val="4"/>
    </w:pPr>
    <w:rPr>
      <w:color w:val="000000"/>
    </w:rPr>
  </w:style>
  <w:style w:type="paragraph" w:styleId="Nagwek6">
    <w:name w:val="heading 6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4590"/>
      </w:tabs>
      <w:spacing w:before="120" w:after="120"/>
      <w:ind w:left="2736" w:right="170" w:hanging="936"/>
      <w:outlineLvl w:val="5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spacing w:before="720" w:after="720"/>
      <w:jc w:val="center"/>
    </w:pPr>
    <w:rPr>
      <w:b/>
      <w:sz w:val="40"/>
      <w:szCs w:val="40"/>
    </w:rPr>
  </w:style>
  <w:style w:type="paragraph" w:styleId="Podtytu">
    <w:name w:val="Subtitle"/>
    <w:basedOn w:val="Normalny"/>
    <w:next w:val="Normalny"/>
    <w:pPr>
      <w:spacing w:before="240" w:after="240"/>
    </w:pPr>
    <w:rPr>
      <w:b/>
      <w:smallCaps/>
      <w:sz w:val="32"/>
      <w:szCs w:val="32"/>
    </w:rPr>
  </w:style>
  <w:style w:type="table" w:customStyle="1" w:styleId="a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8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a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b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c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d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e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0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B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BA0"/>
    <w:rPr>
      <w:rFonts w:ascii="Tahoma" w:hAnsi="Tahoma" w:cs="Tahoma"/>
      <w:sz w:val="16"/>
      <w:szCs w:val="16"/>
    </w:rPr>
  </w:style>
  <w:style w:type="character" w:customStyle="1" w:styleId="grame">
    <w:name w:val="grame"/>
    <w:basedOn w:val="Domylnaczcionkaakapitu"/>
    <w:rsid w:val="00E71F03"/>
  </w:style>
  <w:style w:type="paragraph" w:styleId="Akapitzlist">
    <w:name w:val="List Paragraph"/>
    <w:basedOn w:val="Normalny"/>
    <w:uiPriority w:val="34"/>
    <w:qFormat/>
    <w:rsid w:val="00E71F0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B1D5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061C9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1"/>
    <w:uiPriority w:val="99"/>
    <w:unhideWhenUsed/>
    <w:rsid w:val="00FC3DE8"/>
    <w:pPr>
      <w:spacing w:after="120"/>
      <w:ind w:left="900"/>
    </w:pPr>
    <w:rPr>
      <w:rFonts w:eastAsia="Calibri" w:cs="Times New Roman"/>
      <w:szCs w:val="20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FC3DE8"/>
  </w:style>
  <w:style w:type="character" w:customStyle="1" w:styleId="TekstpodstawowywcityZnak1">
    <w:name w:val="Tekst podstawowy wcięty Znak1"/>
    <w:link w:val="Tekstpodstawowywcity"/>
    <w:uiPriority w:val="99"/>
    <w:rsid w:val="00FC3DE8"/>
    <w:rPr>
      <w:rFonts w:eastAsia="Calibri" w:cs="Times New Roman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pBdr>
        <w:top w:val="nil"/>
        <w:left w:val="nil"/>
        <w:bottom w:val="nil"/>
        <w:right w:val="nil"/>
        <w:between w:val="nil"/>
      </w:pBdr>
      <w:spacing w:before="360" w:after="120"/>
      <w:ind w:left="360" w:hanging="360"/>
      <w:outlineLvl w:val="0"/>
    </w:pPr>
    <w:rPr>
      <w:b/>
      <w:smallCaps/>
      <w:color w:val="000000"/>
    </w:rPr>
  </w:style>
  <w:style w:type="paragraph" w:styleId="Nagwek2">
    <w:name w:val="heading 2"/>
    <w:basedOn w:val="Normalny"/>
    <w:next w:val="Normalny"/>
    <w:pPr>
      <w:pBdr>
        <w:top w:val="nil"/>
        <w:left w:val="nil"/>
        <w:bottom w:val="nil"/>
        <w:right w:val="nil"/>
        <w:between w:val="nil"/>
      </w:pBdr>
      <w:spacing w:before="120" w:after="120"/>
      <w:ind w:left="792" w:right="170" w:hanging="432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1800"/>
      </w:tabs>
      <w:spacing w:before="120" w:after="120"/>
      <w:ind w:left="1506" w:right="170" w:hanging="504"/>
      <w:outlineLvl w:val="2"/>
    </w:pPr>
    <w:rPr>
      <w:color w:val="000000"/>
    </w:rPr>
  </w:style>
  <w:style w:type="paragraph" w:styleId="Nagwek4">
    <w:name w:val="heading 4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2610"/>
      </w:tabs>
      <w:spacing w:before="120" w:after="120"/>
      <w:ind w:left="1728" w:right="170" w:hanging="648"/>
      <w:outlineLvl w:val="3"/>
    </w:pPr>
    <w:rPr>
      <w:color w:val="000000"/>
    </w:rPr>
  </w:style>
  <w:style w:type="paragraph" w:styleId="Nagwek5">
    <w:name w:val="heading 5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3690"/>
      </w:tabs>
      <w:spacing w:before="120" w:after="120"/>
      <w:ind w:left="2232" w:right="170" w:hanging="791"/>
      <w:outlineLvl w:val="4"/>
    </w:pPr>
    <w:rPr>
      <w:color w:val="000000"/>
    </w:rPr>
  </w:style>
  <w:style w:type="paragraph" w:styleId="Nagwek6">
    <w:name w:val="heading 6"/>
    <w:basedOn w:val="Normalny"/>
    <w:next w:val="Normalny"/>
    <w:pPr>
      <w:pBdr>
        <w:top w:val="nil"/>
        <w:left w:val="nil"/>
        <w:bottom w:val="nil"/>
        <w:right w:val="nil"/>
        <w:between w:val="nil"/>
      </w:pBdr>
      <w:tabs>
        <w:tab w:val="left" w:pos="4590"/>
      </w:tabs>
      <w:spacing w:before="120" w:after="120"/>
      <w:ind w:left="2736" w:right="170" w:hanging="936"/>
      <w:outlineLvl w:val="5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spacing w:before="720" w:after="720"/>
      <w:jc w:val="center"/>
    </w:pPr>
    <w:rPr>
      <w:b/>
      <w:sz w:val="40"/>
      <w:szCs w:val="40"/>
    </w:rPr>
  </w:style>
  <w:style w:type="paragraph" w:styleId="Podtytu">
    <w:name w:val="Subtitle"/>
    <w:basedOn w:val="Normalny"/>
    <w:next w:val="Normalny"/>
    <w:pPr>
      <w:spacing w:before="240" w:after="240"/>
    </w:pPr>
    <w:rPr>
      <w:b/>
      <w:smallCaps/>
      <w:sz w:val="32"/>
      <w:szCs w:val="32"/>
    </w:rPr>
  </w:style>
  <w:style w:type="table" w:customStyle="1" w:styleId="a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8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a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b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c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d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e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0">
    <w:basedOn w:val="TableNormal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B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BA0"/>
    <w:rPr>
      <w:rFonts w:ascii="Tahoma" w:hAnsi="Tahoma" w:cs="Tahoma"/>
      <w:sz w:val="16"/>
      <w:szCs w:val="16"/>
    </w:rPr>
  </w:style>
  <w:style w:type="character" w:customStyle="1" w:styleId="grame">
    <w:name w:val="grame"/>
    <w:basedOn w:val="Domylnaczcionkaakapitu"/>
    <w:rsid w:val="00E71F03"/>
  </w:style>
  <w:style w:type="paragraph" w:styleId="Akapitzlist">
    <w:name w:val="List Paragraph"/>
    <w:basedOn w:val="Normalny"/>
    <w:uiPriority w:val="34"/>
    <w:qFormat/>
    <w:rsid w:val="00E71F0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B1D5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061C9E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1"/>
    <w:uiPriority w:val="99"/>
    <w:unhideWhenUsed/>
    <w:rsid w:val="00FC3DE8"/>
    <w:pPr>
      <w:spacing w:after="120"/>
      <w:ind w:left="900"/>
    </w:pPr>
    <w:rPr>
      <w:rFonts w:eastAsia="Calibri" w:cs="Times New Roman"/>
      <w:szCs w:val="20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FC3DE8"/>
  </w:style>
  <w:style w:type="character" w:customStyle="1" w:styleId="TekstpodstawowywcityZnak1">
    <w:name w:val="Tekst podstawowy wcięty Znak1"/>
    <w:link w:val="Tekstpodstawowywcity"/>
    <w:uiPriority w:val="99"/>
    <w:rsid w:val="00FC3DE8"/>
    <w:rPr>
      <w:rFonts w:eastAsia="Calibri" w:cs="Times New Roman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l.wikipedia.org/wiki/Dublin_Cor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cyfryzacja/standard-interfejsu-programistycznego-aplikacji-ap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655EB-B0AC-4B03-8F13-E2E8A1829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5909</Words>
  <Characters>35455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PIMR</Company>
  <LinksUpToDate>false</LinksUpToDate>
  <CharactersWithSpaces>41282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Klembalska</cp:lastModifiedBy>
  <cp:revision>2</cp:revision>
  <dcterms:created xsi:type="dcterms:W3CDTF">2018-12-18T11:31:00Z</dcterms:created>
  <dcterms:modified xsi:type="dcterms:W3CDTF">2018-12-18T11:31:00Z</dcterms:modified>
</cp:coreProperties>
</file>